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5"/>
        <w:gridCol w:w="1296"/>
        <w:gridCol w:w="1557"/>
      </w:tblGrid>
      <w:tr w:rsidR="00792341" w:rsidRPr="00700650" w14:paraId="3FB73C77" w14:textId="77777777">
        <w:trPr>
          <w:trHeight w:val="540"/>
        </w:trPr>
        <w:tc>
          <w:tcPr>
            <w:tcW w:w="3770" w:type="pct"/>
            <w:vAlign w:val="center"/>
          </w:tcPr>
          <w:p w14:paraId="35C8F72F" w14:textId="77777777" w:rsidR="00792341" w:rsidRPr="00700650" w:rsidRDefault="00792341">
            <w:pPr>
              <w:pStyle w:val="Heading1"/>
              <w:spacing w:after="0" w:afterAutospacing="0"/>
              <w:jc w:val="center"/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</w:pPr>
            <w:r w:rsidRPr="00700650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 xml:space="preserve">Plainte sur le défaut de déposer un document d’information sur un engagement électoral </w:t>
            </w:r>
          </w:p>
          <w:p w14:paraId="79BFA6CE" w14:textId="77777777" w:rsidR="00792341" w:rsidRPr="007852D7" w:rsidRDefault="00792341">
            <w:pPr>
              <w:pStyle w:val="Heading1"/>
              <w:spacing w:after="0" w:afterAutospacing="0"/>
              <w:jc w:val="center"/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</w:pPr>
            <w:r w:rsidRPr="007852D7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(Loi sur la transparence des engagements électoraux, L.N.-B.</w:t>
            </w:r>
            <w:r w:rsidR="00C67A15" w:rsidRPr="007852D7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 </w:t>
            </w:r>
            <w:r w:rsidRPr="007852D7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2018, c. 1, articles 8, 9 et 10)</w:t>
            </w:r>
          </w:p>
        </w:tc>
        <w:tc>
          <w:tcPr>
            <w:tcW w:w="405" w:type="pct"/>
            <w:vAlign w:val="center"/>
          </w:tcPr>
          <w:p w14:paraId="486F19C8" w14:textId="42E56BC7" w:rsidR="00792341" w:rsidRPr="00700650" w:rsidRDefault="00735FB9">
            <w:pPr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766490D3" wp14:editId="0B14DF33">
                  <wp:extent cx="683895" cy="397510"/>
                  <wp:effectExtent l="0" t="0" r="1905" b="254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vAlign w:val="center"/>
          </w:tcPr>
          <w:p w14:paraId="693CEBB0" w14:textId="77777777" w:rsidR="00792341" w:rsidRPr="00700650" w:rsidRDefault="00792341">
            <w:pPr>
              <w:jc w:val="center"/>
              <w:rPr>
                <w:rFonts w:cs="Arial"/>
                <w:b/>
                <w:sz w:val="32"/>
                <w:szCs w:val="36"/>
                <w:lang w:val="fr-CA"/>
              </w:rPr>
            </w:pPr>
            <w:r w:rsidRPr="00700650">
              <w:rPr>
                <w:rFonts w:cs="Arial"/>
                <w:b/>
                <w:sz w:val="32"/>
                <w:szCs w:val="36"/>
                <w:lang w:val="fr-CA"/>
              </w:rPr>
              <w:t>P 10 01</w:t>
            </w:r>
            <w:r w:rsidR="00BF3572">
              <w:rPr>
                <w:rFonts w:cs="Arial"/>
                <w:b/>
                <w:sz w:val="32"/>
                <w:szCs w:val="36"/>
                <w:lang w:val="fr-CA"/>
              </w:rPr>
              <w:t>4</w:t>
            </w:r>
          </w:p>
          <w:p w14:paraId="612ABD91" w14:textId="4D550EB2" w:rsidR="00792341" w:rsidRPr="00700650" w:rsidRDefault="00FD7D39">
            <w:pPr>
              <w:jc w:val="center"/>
              <w:rPr>
                <w:rFonts w:cs="Arial"/>
                <w:b/>
                <w:szCs w:val="24"/>
                <w:lang w:val="fr-CA"/>
              </w:rPr>
            </w:pPr>
            <w:r>
              <w:rPr>
                <w:rFonts w:cs="Arial"/>
                <w:b/>
                <w:szCs w:val="24"/>
                <w:lang w:val="fr-CA"/>
              </w:rPr>
              <w:t>(20</w:t>
            </w:r>
            <w:r w:rsidR="00735FB9">
              <w:rPr>
                <w:rFonts w:cs="Arial"/>
                <w:b/>
                <w:szCs w:val="24"/>
                <w:lang w:val="fr-CA"/>
              </w:rPr>
              <w:t>23-01-17</w:t>
            </w:r>
            <w:r w:rsidR="00792341" w:rsidRPr="00700650">
              <w:rPr>
                <w:rFonts w:cs="Arial"/>
                <w:b/>
                <w:szCs w:val="24"/>
                <w:lang w:val="fr-CA"/>
              </w:rPr>
              <w:t>)</w:t>
            </w:r>
          </w:p>
        </w:tc>
      </w:tr>
    </w:tbl>
    <w:p w14:paraId="7397846F" w14:textId="77777777" w:rsidR="00792341" w:rsidRPr="00700650" w:rsidRDefault="00792341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7200"/>
      </w:tblGrid>
      <w:tr w:rsidR="00700650" w:rsidRPr="00700650" w14:paraId="72702C69" w14:textId="77777777">
        <w:tc>
          <w:tcPr>
            <w:tcW w:w="10728" w:type="dxa"/>
            <w:gridSpan w:val="2"/>
          </w:tcPr>
          <w:p w14:paraId="16C0830C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>Partie A : Plaignant</w:t>
            </w:r>
          </w:p>
        </w:tc>
      </w:tr>
      <w:tr w:rsidR="00700650" w:rsidRPr="00700650" w14:paraId="3476D7EB" w14:textId="77777777">
        <w:tc>
          <w:tcPr>
            <w:tcW w:w="3528" w:type="dxa"/>
          </w:tcPr>
          <w:p w14:paraId="5464BC2B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>Parti politique enregistré</w:t>
            </w:r>
          </w:p>
        </w:tc>
        <w:tc>
          <w:tcPr>
            <w:tcW w:w="7200" w:type="dxa"/>
          </w:tcPr>
          <w:p w14:paraId="3793998F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792341" w:rsidRPr="00700650" w14:paraId="551AFE5D" w14:textId="77777777">
        <w:tc>
          <w:tcPr>
            <w:tcW w:w="3528" w:type="dxa"/>
          </w:tcPr>
          <w:p w14:paraId="4E462B76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>Représentant officiel</w:t>
            </w:r>
          </w:p>
        </w:tc>
        <w:tc>
          <w:tcPr>
            <w:tcW w:w="7200" w:type="dxa"/>
          </w:tcPr>
          <w:p w14:paraId="74FE2694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14:paraId="079D26B5" w14:textId="77777777" w:rsidR="00792341" w:rsidRPr="00700650" w:rsidRDefault="00792341">
      <w:pPr>
        <w:outlineLvl w:val="0"/>
        <w:rPr>
          <w:rFonts w:cs="Arial"/>
          <w:sz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700650" w:rsidRPr="00735FB9" w14:paraId="39C657D3" w14:textId="77777777">
        <w:tc>
          <w:tcPr>
            <w:tcW w:w="10728" w:type="dxa"/>
          </w:tcPr>
          <w:p w14:paraId="32E296F7" w14:textId="77777777" w:rsidR="00792341" w:rsidRPr="00700650" w:rsidRDefault="00792341" w:rsidP="007852D7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>Partie B : Plainte sur le défaut de dé</w:t>
            </w:r>
            <w:r w:rsidR="007852D7">
              <w:rPr>
                <w:rFonts w:cs="Arial"/>
                <w:b/>
                <w:lang w:val="fr-CA"/>
              </w:rPr>
              <w:t>poser un document d’information</w:t>
            </w:r>
          </w:p>
        </w:tc>
      </w:tr>
      <w:tr w:rsidR="00700650" w:rsidRPr="00735FB9" w14:paraId="1B056B51" w14:textId="77777777">
        <w:tc>
          <w:tcPr>
            <w:tcW w:w="10728" w:type="dxa"/>
          </w:tcPr>
          <w:p w14:paraId="0924082E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>Parti politique enregistré contre lequel la plainte est formulée</w:t>
            </w:r>
          </w:p>
          <w:p w14:paraId="465A8DF9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700650" w:rsidRPr="00735FB9" w14:paraId="0EF7B441" w14:textId="77777777">
        <w:tc>
          <w:tcPr>
            <w:tcW w:w="10728" w:type="dxa"/>
          </w:tcPr>
          <w:p w14:paraId="39F2BE72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>Fournir autant de détails que possible sur le défaut allégué de déposer un document d’information, dont des photographies, images d’écran et articles dans la presse, etc.</w:t>
            </w:r>
          </w:p>
          <w:p w14:paraId="3080E1D9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5B6511C7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4F67F83A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62AAA95A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482FCB32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6C930D69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60766396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38D767CE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3AB61C68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776CA210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1D922950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0B47B250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58906F24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3804AE3E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fr-CA"/>
              </w:rPr>
            </w:pPr>
          </w:p>
          <w:p w14:paraId="269D4529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7A72F80E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27A319D6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3722FE2F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547E29F0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071BC65D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4F95A005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3A28CF89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4AAE8DF1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258821DB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72879716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56BC209A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0A3B864C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289BB6A0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78B9E79F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14:paraId="4FCACDE5" w14:textId="77777777" w:rsidR="00792341" w:rsidRPr="00700650" w:rsidRDefault="00792341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700650" w:rsidRPr="00735FB9" w14:paraId="5029216E" w14:textId="77777777">
        <w:tc>
          <w:tcPr>
            <w:tcW w:w="10728" w:type="dxa"/>
            <w:gridSpan w:val="2"/>
          </w:tcPr>
          <w:p w14:paraId="3249B172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>Partie C : Signature du représentant officiel du plaignant</w:t>
            </w:r>
          </w:p>
        </w:tc>
      </w:tr>
      <w:tr w:rsidR="00700650" w:rsidRPr="00700650" w14:paraId="11F4E8AE" w14:textId="77777777">
        <w:tc>
          <w:tcPr>
            <w:tcW w:w="6138" w:type="dxa"/>
          </w:tcPr>
          <w:p w14:paraId="54F44995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Signature écrite</w:t>
            </w:r>
          </w:p>
          <w:p w14:paraId="3AB7C40D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36E90848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4590" w:type="dxa"/>
          </w:tcPr>
          <w:p w14:paraId="24EF78AA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Date</w:t>
            </w:r>
          </w:p>
        </w:tc>
      </w:tr>
      <w:tr w:rsidR="00792341" w:rsidRPr="00700650" w14:paraId="693825F5" w14:textId="77777777">
        <w:tc>
          <w:tcPr>
            <w:tcW w:w="6138" w:type="dxa"/>
          </w:tcPr>
          <w:p w14:paraId="7B8F034B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852D7">
              <w:rPr>
                <w:rFonts w:cs="Arial"/>
                <w:lang w:val="fr-CA"/>
              </w:rPr>
              <w:t>ou signature électronique</w:t>
            </w:r>
            <w:r w:rsidRPr="00700650">
              <w:rPr>
                <w:rFonts w:cs="Arial"/>
                <w:sz w:val="16"/>
                <w:lang w:val="fr-CA"/>
              </w:rPr>
              <w:t xml:space="preserve"> (taper le nom)</w:t>
            </w:r>
          </w:p>
          <w:p w14:paraId="387E5B45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4590" w:type="dxa"/>
          </w:tcPr>
          <w:p w14:paraId="628025D4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Date</w:t>
            </w:r>
          </w:p>
        </w:tc>
      </w:tr>
    </w:tbl>
    <w:p w14:paraId="2A151015" w14:textId="77777777" w:rsidR="00792341" w:rsidRPr="00700650" w:rsidRDefault="00792341">
      <w:pPr>
        <w:outlineLvl w:val="0"/>
        <w:rPr>
          <w:rFonts w:cs="Arial"/>
          <w:lang w:val="fr-CA"/>
        </w:rPr>
      </w:pPr>
    </w:p>
    <w:p w14:paraId="0516B493" w14:textId="77777777" w:rsidR="00792341" w:rsidRPr="00700650" w:rsidRDefault="00792341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700650" w:rsidRPr="00735FB9" w14:paraId="29B28B59" w14:textId="77777777">
        <w:tc>
          <w:tcPr>
            <w:tcW w:w="10728" w:type="dxa"/>
            <w:gridSpan w:val="2"/>
          </w:tcPr>
          <w:p w14:paraId="531A0EB1" w14:textId="77777777" w:rsidR="00792341" w:rsidRPr="00700650" w:rsidRDefault="00792341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>LA PRÉSENTE PAGE EST RÉSERVÉE À UN USAGE INTERNE</w:t>
            </w:r>
          </w:p>
        </w:tc>
      </w:tr>
      <w:tr w:rsidR="00700650" w:rsidRPr="00735FB9" w14:paraId="14DEF233" w14:textId="77777777">
        <w:tc>
          <w:tcPr>
            <w:tcW w:w="10728" w:type="dxa"/>
            <w:gridSpan w:val="2"/>
          </w:tcPr>
          <w:p w14:paraId="41989027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 xml:space="preserve">Partie D : Mesures à prendre par le </w:t>
            </w:r>
            <w:r w:rsidR="006825FA" w:rsidRPr="00700650">
              <w:rPr>
                <w:rFonts w:cs="Arial"/>
                <w:b/>
                <w:lang w:val="fr-CA"/>
              </w:rPr>
              <w:t>c</w:t>
            </w:r>
            <w:r w:rsidRPr="00700650">
              <w:rPr>
                <w:rFonts w:cs="Arial"/>
                <w:b/>
                <w:lang w:val="fr-CA"/>
              </w:rPr>
              <w:t>ontrôleur du financement politique</w:t>
            </w:r>
            <w:r w:rsidRPr="00700650">
              <w:rPr>
                <w:rFonts w:cs="Arial"/>
                <w:lang w:val="fr-CA"/>
              </w:rPr>
              <w:t xml:space="preserve">  </w:t>
            </w:r>
          </w:p>
        </w:tc>
      </w:tr>
      <w:tr w:rsidR="00700650" w:rsidRPr="00700650" w14:paraId="285D3AAD" w14:textId="77777777">
        <w:tc>
          <w:tcPr>
            <w:tcW w:w="6138" w:type="dxa"/>
          </w:tcPr>
          <w:p w14:paraId="47FE53B0" w14:textId="77777777" w:rsidR="00792341" w:rsidRPr="00700650" w:rsidRDefault="00FC5B1C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792341" w:rsidRPr="00700650">
              <w:rPr>
                <w:rFonts w:cs="Arial"/>
                <w:lang w:val="fr-CA"/>
              </w:rPr>
              <w:t xml:space="preserve"> Noter la date et l’heure de réception de la plainte</w:t>
            </w:r>
          </w:p>
          <w:p w14:paraId="02DD5385" w14:textId="77777777" w:rsidR="00792341" w:rsidRPr="00700650" w:rsidRDefault="00FC5B1C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792341" w:rsidRPr="00700650">
              <w:rPr>
                <w:rFonts w:cs="Arial"/>
                <w:lang w:val="fr-CA"/>
              </w:rPr>
              <w:t xml:space="preserve"> Joindre le courriel du plaignant</w:t>
            </w:r>
          </w:p>
        </w:tc>
        <w:tc>
          <w:tcPr>
            <w:tcW w:w="4590" w:type="dxa"/>
          </w:tcPr>
          <w:p w14:paraId="7FD9BADA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Date et heure</w:t>
            </w:r>
          </w:p>
          <w:p w14:paraId="5EE23D79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  <w:tr w:rsidR="00700650" w:rsidRPr="00700650" w14:paraId="3D2314FE" w14:textId="77777777">
        <w:tc>
          <w:tcPr>
            <w:tcW w:w="6138" w:type="dxa"/>
          </w:tcPr>
          <w:p w14:paraId="1BA0D205" w14:textId="77777777" w:rsidR="00792341" w:rsidRPr="00700650" w:rsidRDefault="00FC5B1C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0F69C0" w:rsidRPr="00700650">
              <w:rPr>
                <w:rFonts w:cs="Arial"/>
                <w:lang w:val="fr-CA"/>
              </w:rPr>
              <w:t xml:space="preserve"> </w:t>
            </w:r>
            <w:r w:rsidR="00792341" w:rsidRPr="00700650">
              <w:rPr>
                <w:rFonts w:cs="Arial"/>
                <w:lang w:val="fr-CA"/>
              </w:rPr>
              <w:t>Calculer la période de 72 heures pour l’examen de la plainte</w:t>
            </w:r>
          </w:p>
        </w:tc>
        <w:tc>
          <w:tcPr>
            <w:tcW w:w="4590" w:type="dxa"/>
          </w:tcPr>
          <w:p w14:paraId="03A5D520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Date et heure</w:t>
            </w:r>
          </w:p>
          <w:p w14:paraId="0BEDCECC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  <w:tr w:rsidR="00700650" w:rsidRPr="00700650" w14:paraId="308D25B0" w14:textId="77777777">
        <w:tc>
          <w:tcPr>
            <w:tcW w:w="6138" w:type="dxa"/>
          </w:tcPr>
          <w:p w14:paraId="05E9268C" w14:textId="77777777" w:rsidR="00792341" w:rsidRPr="00700650" w:rsidRDefault="00FC5B1C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792341" w:rsidRPr="00700650">
              <w:rPr>
                <w:rFonts w:cs="Arial"/>
                <w:lang w:val="fr-CA"/>
              </w:rPr>
              <w:t xml:space="preserve"> </w:t>
            </w:r>
            <w:r w:rsidR="007F2DDF">
              <w:rPr>
                <w:rFonts w:cs="Arial"/>
                <w:lang w:val="fr-CA"/>
              </w:rPr>
              <w:t>Aviser</w:t>
            </w:r>
            <w:r w:rsidR="00792341" w:rsidRPr="00700650">
              <w:rPr>
                <w:rFonts w:cs="Arial"/>
                <w:lang w:val="fr-CA"/>
              </w:rPr>
              <w:t xml:space="preserve"> le représentant du parti politique contre lequel la plainte est formulée en fournissant une copie de la plainte</w:t>
            </w:r>
          </w:p>
          <w:p w14:paraId="5C788D44" w14:textId="77777777" w:rsidR="00792341" w:rsidRPr="00700650" w:rsidRDefault="00FC5B1C" w:rsidP="007F2DDF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792341" w:rsidRPr="00700650">
              <w:rPr>
                <w:rFonts w:cs="Arial"/>
                <w:lang w:val="fr-CA"/>
              </w:rPr>
              <w:t xml:space="preserve"> J</w:t>
            </w:r>
            <w:r w:rsidR="007F2DDF">
              <w:rPr>
                <w:rFonts w:cs="Arial"/>
                <w:lang w:val="fr-CA"/>
              </w:rPr>
              <w:t>oindre une copie du courriel d’avis</w:t>
            </w:r>
          </w:p>
        </w:tc>
        <w:tc>
          <w:tcPr>
            <w:tcW w:w="4590" w:type="dxa"/>
          </w:tcPr>
          <w:p w14:paraId="17D063B0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Date</w:t>
            </w:r>
          </w:p>
        </w:tc>
      </w:tr>
      <w:tr w:rsidR="00792341" w:rsidRPr="00700650" w14:paraId="10787F80" w14:textId="77777777">
        <w:tc>
          <w:tcPr>
            <w:tcW w:w="6138" w:type="dxa"/>
          </w:tcPr>
          <w:p w14:paraId="31EBA71B" w14:textId="77777777" w:rsidR="00792341" w:rsidRPr="00700650" w:rsidRDefault="00FC5B1C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792341" w:rsidRPr="00700650">
              <w:rPr>
                <w:rFonts w:cs="Arial"/>
                <w:lang w:val="fr-CA"/>
              </w:rPr>
              <w:t xml:space="preserve"> Refuser d’enquêter sur la plainte lorsque le </w:t>
            </w:r>
            <w:r w:rsidR="006825FA" w:rsidRPr="00700650">
              <w:rPr>
                <w:rFonts w:cs="Arial"/>
                <w:lang w:val="fr-CA"/>
              </w:rPr>
              <w:t>c</w:t>
            </w:r>
            <w:r w:rsidR="00792341" w:rsidRPr="00700650">
              <w:rPr>
                <w:rFonts w:cs="Arial"/>
                <w:lang w:val="fr-CA"/>
              </w:rPr>
              <w:t>ontrôleur estime qu’elle est frivole, vexatoire ou portée de mauvaise foi ou que, compte tenu des circonstances, pareille enquête s’avère inutile :</w:t>
            </w:r>
          </w:p>
          <w:p w14:paraId="38768C4D" w14:textId="77777777" w:rsidR="00792341" w:rsidRPr="00097845" w:rsidRDefault="00FC5B1C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792341" w:rsidRPr="00700650">
              <w:rPr>
                <w:rFonts w:cs="Arial"/>
                <w:lang w:val="fr-CA"/>
              </w:rPr>
              <w:t xml:space="preserve"> Préparer, remettre et joindre le formulaire </w:t>
            </w:r>
            <w:r w:rsidR="00792341" w:rsidRPr="00700650">
              <w:rPr>
                <w:rFonts w:cs="Arial"/>
                <w:i/>
                <w:lang w:val="fr-CA"/>
              </w:rPr>
              <w:t>Avis de refus de mener une enquête sur une plainte</w:t>
            </w:r>
            <w:r w:rsidR="00097845">
              <w:rPr>
                <w:rFonts w:cs="Arial"/>
                <w:lang w:val="fr-CA"/>
              </w:rPr>
              <w:t xml:space="preserve"> (P 10 016).</w:t>
            </w:r>
          </w:p>
          <w:p w14:paraId="36F1497A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ou</w:t>
            </w:r>
          </w:p>
          <w:p w14:paraId="619CAF8D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53079315" w14:textId="77777777" w:rsidR="00792341" w:rsidRPr="00700650" w:rsidRDefault="00FC5B1C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792341" w:rsidRPr="00700650">
              <w:rPr>
                <w:rFonts w:cs="Arial"/>
                <w:lang w:val="fr-CA"/>
              </w:rPr>
              <w:t xml:space="preserve"> Enquêter sur la plainte lorsque des motifs raisonnables donnent lieu de croire au </w:t>
            </w:r>
            <w:r w:rsidR="006825FA" w:rsidRPr="00700650">
              <w:rPr>
                <w:rFonts w:cs="Arial"/>
                <w:lang w:val="fr-CA"/>
              </w:rPr>
              <w:t>c</w:t>
            </w:r>
            <w:r w:rsidR="00792341" w:rsidRPr="00700650">
              <w:rPr>
                <w:rFonts w:cs="Arial"/>
                <w:lang w:val="fr-CA"/>
              </w:rPr>
              <w:t>ontrôleur qu’elle est fondée.</w:t>
            </w:r>
          </w:p>
          <w:p w14:paraId="64A264D1" w14:textId="77777777" w:rsidR="00792341" w:rsidRPr="00700650" w:rsidRDefault="00FC5B1C" w:rsidP="00097845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0F69C0" w:rsidRPr="00700650">
              <w:rPr>
                <w:rFonts w:cs="Arial"/>
                <w:lang w:val="fr-CA"/>
              </w:rPr>
              <w:t xml:space="preserve"> </w:t>
            </w:r>
            <w:r w:rsidR="00792341" w:rsidRPr="00700650">
              <w:rPr>
                <w:rFonts w:cs="Arial"/>
                <w:lang w:val="fr-CA"/>
              </w:rPr>
              <w:t xml:space="preserve">Remplir et joindre le formulaire </w:t>
            </w:r>
            <w:r w:rsidR="00792341" w:rsidRPr="00700650">
              <w:rPr>
                <w:rFonts w:cs="Arial"/>
                <w:i/>
                <w:lang w:val="fr-CA"/>
              </w:rPr>
              <w:t>Tenue d’une enquête sur une plainte de défaut de dé</w:t>
            </w:r>
            <w:r w:rsidR="00097845">
              <w:rPr>
                <w:rFonts w:cs="Arial"/>
                <w:i/>
                <w:lang w:val="fr-CA"/>
              </w:rPr>
              <w:t xml:space="preserve">pôt d’un document d’information </w:t>
            </w:r>
            <w:r w:rsidR="00097845">
              <w:rPr>
                <w:rFonts w:cs="Arial"/>
                <w:lang w:val="fr-CA"/>
              </w:rPr>
              <w:t>(P 10 018).</w:t>
            </w:r>
          </w:p>
        </w:tc>
        <w:tc>
          <w:tcPr>
            <w:tcW w:w="4590" w:type="dxa"/>
          </w:tcPr>
          <w:p w14:paraId="45029E1C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Date</w:t>
            </w:r>
          </w:p>
        </w:tc>
      </w:tr>
    </w:tbl>
    <w:p w14:paraId="79C0177B" w14:textId="77777777" w:rsidR="00792341" w:rsidRPr="00700650" w:rsidRDefault="00792341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700650" w:rsidRPr="00735FB9" w14:paraId="2FBB323C" w14:textId="77777777">
        <w:tc>
          <w:tcPr>
            <w:tcW w:w="10728" w:type="dxa"/>
            <w:gridSpan w:val="2"/>
          </w:tcPr>
          <w:p w14:paraId="5951BC8C" w14:textId="77777777" w:rsidR="00792341" w:rsidRPr="00700650" w:rsidRDefault="0079234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700650">
              <w:rPr>
                <w:rFonts w:cs="Arial"/>
                <w:b/>
                <w:lang w:val="fr-CA"/>
              </w:rPr>
              <w:t xml:space="preserve">Partie E : Décision du </w:t>
            </w:r>
            <w:r w:rsidR="006825FA" w:rsidRPr="00700650">
              <w:rPr>
                <w:rFonts w:cs="Arial"/>
                <w:b/>
                <w:lang w:val="fr-CA"/>
              </w:rPr>
              <w:t>c</w:t>
            </w:r>
            <w:r w:rsidRPr="00700650">
              <w:rPr>
                <w:rFonts w:cs="Arial"/>
                <w:b/>
                <w:lang w:val="fr-CA"/>
              </w:rPr>
              <w:t>ontrôleur du financement politique</w:t>
            </w:r>
            <w:r w:rsidRPr="00700650">
              <w:rPr>
                <w:rFonts w:cs="Arial"/>
                <w:lang w:val="fr-CA"/>
              </w:rPr>
              <w:t xml:space="preserve"> </w:t>
            </w:r>
          </w:p>
        </w:tc>
      </w:tr>
      <w:tr w:rsidR="00792341" w:rsidRPr="00700650" w14:paraId="267669B2" w14:textId="77777777">
        <w:tc>
          <w:tcPr>
            <w:tcW w:w="6138" w:type="dxa"/>
          </w:tcPr>
          <w:p w14:paraId="3B82E670" w14:textId="77777777" w:rsidR="00792341" w:rsidRPr="00700650" w:rsidRDefault="00FC5B1C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792341" w:rsidRPr="00700650">
              <w:rPr>
                <w:rFonts w:cs="Arial"/>
                <w:lang w:val="fr-CA"/>
              </w:rPr>
              <w:t xml:space="preserve"> Rejeter la plainte</w:t>
            </w:r>
          </w:p>
          <w:p w14:paraId="27CF2AD5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51AB068B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ou</w:t>
            </w:r>
          </w:p>
          <w:p w14:paraId="2926E22E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53BFD6D3" w14:textId="77777777" w:rsidR="00792341" w:rsidRPr="00700650" w:rsidRDefault="00FC5B1C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792341" w:rsidRPr="00700650">
              <w:rPr>
                <w:rFonts w:cs="Arial"/>
                <w:lang w:val="fr-CA"/>
              </w:rPr>
              <w:t xml:space="preserve"> Conclure que le parti politique enregistré concerné a négligé de déposer un document d’information.</w:t>
            </w:r>
          </w:p>
          <w:p w14:paraId="01A14DE0" w14:textId="77777777" w:rsidR="00792341" w:rsidRPr="00700650" w:rsidRDefault="00FC5B1C" w:rsidP="00097845">
            <w:pPr>
              <w:widowControl w:val="0"/>
              <w:tabs>
                <w:tab w:val="center" w:pos="5310"/>
              </w:tabs>
              <w:spacing w:before="60" w:after="60"/>
              <w:ind w:left="72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650">
              <w:rPr>
                <w:rFonts w:cs="Arial"/>
                <w:lang w:val="fr-CA"/>
              </w:rPr>
              <w:instrText xml:space="preserve"> FORMCHECKBOX </w:instrText>
            </w:r>
            <w:r w:rsidR="00735FB9">
              <w:rPr>
                <w:rFonts w:cs="Arial"/>
                <w:lang w:val="en-CA"/>
              </w:rPr>
            </w:r>
            <w:r w:rsidR="00735FB9">
              <w:rPr>
                <w:rFonts w:cs="Arial"/>
                <w:lang w:val="en-CA"/>
              </w:rPr>
              <w:fldChar w:fldCharType="separate"/>
            </w:r>
            <w:r w:rsidRPr="00700650">
              <w:rPr>
                <w:rFonts w:cs="Arial"/>
                <w:lang w:val="en-CA"/>
              </w:rPr>
              <w:fldChar w:fldCharType="end"/>
            </w:r>
            <w:r w:rsidR="000F69C0" w:rsidRPr="00700650">
              <w:rPr>
                <w:rFonts w:cs="Arial"/>
                <w:lang w:val="fr-CA"/>
              </w:rPr>
              <w:t xml:space="preserve"> </w:t>
            </w:r>
            <w:r w:rsidR="00792341" w:rsidRPr="00700650">
              <w:rPr>
                <w:rFonts w:cs="Arial"/>
                <w:lang w:val="fr-CA"/>
              </w:rPr>
              <w:t>Préparer, remettre et joindre le formulaire d’</w:t>
            </w:r>
            <w:r w:rsidR="00792341" w:rsidRPr="00700650">
              <w:rPr>
                <w:rFonts w:cs="Arial"/>
                <w:i/>
                <w:lang w:val="fr-CA"/>
              </w:rPr>
              <w:t>Avis de défaut de dépôt d’un document d’informat</w:t>
            </w:r>
            <w:r w:rsidR="00097845">
              <w:rPr>
                <w:rFonts w:cs="Arial"/>
                <w:i/>
                <w:lang w:val="fr-CA"/>
              </w:rPr>
              <w:t xml:space="preserve">ion sur un engagement électoral </w:t>
            </w:r>
            <w:r w:rsidR="00097845">
              <w:rPr>
                <w:rFonts w:cs="Arial"/>
                <w:lang w:val="fr-CA"/>
              </w:rPr>
              <w:t>(P 10 020).</w:t>
            </w:r>
          </w:p>
        </w:tc>
        <w:tc>
          <w:tcPr>
            <w:tcW w:w="4590" w:type="dxa"/>
          </w:tcPr>
          <w:p w14:paraId="24352919" w14:textId="77777777" w:rsidR="00792341" w:rsidRPr="00700650" w:rsidRDefault="0079234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700650">
              <w:rPr>
                <w:rFonts w:cs="Arial"/>
                <w:lang w:val="fr-CA"/>
              </w:rPr>
              <w:t>Date</w:t>
            </w:r>
          </w:p>
        </w:tc>
      </w:tr>
    </w:tbl>
    <w:p w14:paraId="27C186D4" w14:textId="77777777" w:rsidR="00792341" w:rsidRPr="00700650" w:rsidRDefault="00792341">
      <w:pPr>
        <w:outlineLvl w:val="0"/>
        <w:rPr>
          <w:rFonts w:cs="Arial"/>
          <w:lang w:val="fr-CA"/>
        </w:rPr>
      </w:pPr>
    </w:p>
    <w:sectPr w:rsidR="00792341" w:rsidRPr="00700650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7C73" w14:textId="77777777" w:rsidR="00DA2783" w:rsidRDefault="00DA2783">
      <w:pPr>
        <w:rPr>
          <w:lang w:val="fr-CA"/>
        </w:rPr>
      </w:pPr>
      <w:r>
        <w:rPr>
          <w:lang w:val="fr-CA"/>
        </w:rPr>
        <w:separator/>
      </w:r>
    </w:p>
  </w:endnote>
  <w:endnote w:type="continuationSeparator" w:id="0">
    <w:p w14:paraId="3F7CCFE0" w14:textId="77777777" w:rsidR="00DA2783" w:rsidRDefault="00DA2783">
      <w:pPr>
        <w:rPr>
          <w:lang w:val="fr-CA"/>
        </w:rPr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1C82" w14:textId="77777777" w:rsidR="00792341" w:rsidRPr="00B54690" w:rsidRDefault="00792341">
    <w:pPr>
      <w:pStyle w:val="Footer"/>
      <w:jc w:val="right"/>
      <w:rPr>
        <w:lang w:val="fr-CA"/>
      </w:rPr>
    </w:pPr>
    <w:r w:rsidRPr="00B54690">
      <w:rPr>
        <w:lang w:val="fr-CA"/>
      </w:rPr>
      <w:t xml:space="preserve">Page </w:t>
    </w:r>
    <w:r w:rsidR="00FC5B1C" w:rsidRPr="00B54690">
      <w:rPr>
        <w:lang w:val="fr-CA"/>
      </w:rPr>
      <w:fldChar w:fldCharType="begin"/>
    </w:r>
    <w:r w:rsidR="00FC5B1C" w:rsidRPr="00B54690">
      <w:rPr>
        <w:lang w:val="fr-CA"/>
      </w:rPr>
      <w:instrText xml:space="preserve"> PAGE   \* MERGEFORMAT </w:instrText>
    </w:r>
    <w:r w:rsidR="00FC5B1C" w:rsidRPr="00B54690">
      <w:rPr>
        <w:lang w:val="fr-CA"/>
      </w:rPr>
      <w:fldChar w:fldCharType="separate"/>
    </w:r>
    <w:r w:rsidR="00030D28">
      <w:rPr>
        <w:noProof/>
        <w:lang w:val="fr-CA"/>
      </w:rPr>
      <w:t>2</w:t>
    </w:r>
    <w:r w:rsidR="00FC5B1C" w:rsidRPr="00B54690">
      <w:rPr>
        <w:lang w:val="fr-CA"/>
      </w:rPr>
      <w:fldChar w:fldCharType="end"/>
    </w:r>
    <w:r w:rsidRPr="00B54690">
      <w:rPr>
        <w:lang w:val="fr-CA"/>
      </w:rPr>
      <w:t>/</w:t>
    </w:r>
    <w:r w:rsidR="00FC5B1C" w:rsidRPr="00B54690">
      <w:rPr>
        <w:noProof/>
        <w:lang w:val="fr-CA"/>
      </w:rPr>
      <w:fldChar w:fldCharType="begin"/>
    </w:r>
    <w:r w:rsidR="00FC5B1C" w:rsidRPr="00B54690">
      <w:rPr>
        <w:noProof/>
        <w:lang w:val="fr-CA"/>
      </w:rPr>
      <w:instrText xml:space="preserve"> NUMPAGES   \* MERGEFORMAT </w:instrText>
    </w:r>
    <w:r w:rsidR="00FC5B1C" w:rsidRPr="00B54690">
      <w:rPr>
        <w:noProof/>
        <w:lang w:val="fr-CA"/>
      </w:rPr>
      <w:fldChar w:fldCharType="separate"/>
    </w:r>
    <w:r w:rsidR="00030D28">
      <w:rPr>
        <w:noProof/>
        <w:lang w:val="fr-CA"/>
      </w:rPr>
      <w:t>2</w:t>
    </w:r>
    <w:r w:rsidR="00FC5B1C" w:rsidRPr="00B54690">
      <w:rPr>
        <w:noProof/>
        <w:lang w:val="fr-CA"/>
      </w:rPr>
      <w:fldChar w:fldCharType="end"/>
    </w:r>
  </w:p>
  <w:p w14:paraId="0B0B74DB" w14:textId="77777777" w:rsidR="00792341" w:rsidRDefault="00792341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01D4" w14:textId="77777777" w:rsidR="00DA2783" w:rsidRDefault="00DA2783">
      <w:pPr>
        <w:rPr>
          <w:lang w:val="fr-CA"/>
        </w:rPr>
      </w:pPr>
      <w:r>
        <w:rPr>
          <w:lang w:val="fr-CA"/>
        </w:rPr>
        <w:separator/>
      </w:r>
    </w:p>
  </w:footnote>
  <w:footnote w:type="continuationSeparator" w:id="0">
    <w:p w14:paraId="119C53C9" w14:textId="77777777" w:rsidR="00DA2783" w:rsidRDefault="00DA2783">
      <w:pPr>
        <w:rPr>
          <w:lang w:val="fr-CA"/>
        </w:rPr>
      </w:pPr>
      <w:r>
        <w:rPr>
          <w:lang w:val="fr-C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9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  <w:num w:numId="17">
    <w:abstractNumId w:val="18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D0A"/>
    <w:rsid w:val="00030D28"/>
    <w:rsid w:val="00097845"/>
    <w:rsid w:val="000A3191"/>
    <w:rsid w:val="000F69C0"/>
    <w:rsid w:val="0026612B"/>
    <w:rsid w:val="00277164"/>
    <w:rsid w:val="0028379A"/>
    <w:rsid w:val="002A5D0A"/>
    <w:rsid w:val="00511D82"/>
    <w:rsid w:val="006825FA"/>
    <w:rsid w:val="00700650"/>
    <w:rsid w:val="00735FB9"/>
    <w:rsid w:val="007724FC"/>
    <w:rsid w:val="007852D7"/>
    <w:rsid w:val="00792341"/>
    <w:rsid w:val="007F2DDF"/>
    <w:rsid w:val="00AB0C0B"/>
    <w:rsid w:val="00B54690"/>
    <w:rsid w:val="00BF3572"/>
    <w:rsid w:val="00C67A15"/>
    <w:rsid w:val="00DA2783"/>
    <w:rsid w:val="00FC5B1C"/>
    <w:rsid w:val="00F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D636E"/>
  <w14:defaultImageDpi w14:val="96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9226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92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0922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0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0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70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0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70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70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0922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70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70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70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0922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9210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923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0920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0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70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0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70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70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0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70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70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70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0920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70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70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70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0923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5FB6-F7D7-476D-95B8-DAD776CF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New Brunswick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12</cp:revision>
  <cp:lastPrinted>2018-07-31T13:37:00Z</cp:lastPrinted>
  <dcterms:created xsi:type="dcterms:W3CDTF">2018-07-24T17:20:00Z</dcterms:created>
  <dcterms:modified xsi:type="dcterms:W3CDTF">2023-01-17T19:16:00Z</dcterms:modified>
</cp:coreProperties>
</file>