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F078E6" w:rsidRPr="00166B90" w14:paraId="6362403C" w14:textId="77777777">
        <w:trPr>
          <w:trHeight w:val="540"/>
        </w:trPr>
        <w:tc>
          <w:tcPr>
            <w:tcW w:w="3770" w:type="pct"/>
            <w:vAlign w:val="center"/>
          </w:tcPr>
          <w:p w14:paraId="06CA51B8" w14:textId="77777777" w:rsidR="00F078E6" w:rsidRPr="00166B90" w:rsidRDefault="00F078E6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166B90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Avis de non-conformité pour un document d’information sur un engagement électoral </w:t>
            </w:r>
          </w:p>
          <w:p w14:paraId="1AADA742" w14:textId="77777777" w:rsidR="00F078E6" w:rsidRPr="00A04DB0" w:rsidRDefault="00F078E6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A04DB0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973538" w:rsidRPr="00A04DB0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A04DB0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 7)</w:t>
            </w:r>
          </w:p>
        </w:tc>
        <w:tc>
          <w:tcPr>
            <w:tcW w:w="405" w:type="pct"/>
            <w:vAlign w:val="center"/>
          </w:tcPr>
          <w:p w14:paraId="12F65749" w14:textId="24436AC6" w:rsidR="00F078E6" w:rsidRPr="00166B90" w:rsidRDefault="004F115D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496402F9" wp14:editId="1CD2EA84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0F7F49DD" w14:textId="77777777" w:rsidR="00F078E6" w:rsidRPr="00166B90" w:rsidRDefault="00F078E6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166B90">
              <w:rPr>
                <w:rFonts w:cs="Arial"/>
                <w:b/>
                <w:sz w:val="32"/>
                <w:szCs w:val="36"/>
                <w:lang w:val="fr-CA"/>
              </w:rPr>
              <w:t>P 10 01</w:t>
            </w:r>
            <w:r w:rsidR="00D5124F">
              <w:rPr>
                <w:rFonts w:cs="Arial"/>
                <w:b/>
                <w:sz w:val="32"/>
                <w:szCs w:val="36"/>
                <w:lang w:val="fr-CA"/>
              </w:rPr>
              <w:t>2</w:t>
            </w:r>
          </w:p>
          <w:p w14:paraId="21415B8F" w14:textId="1CE1F4BF" w:rsidR="00F078E6" w:rsidRPr="00166B90" w:rsidRDefault="00F078E6" w:rsidP="00826267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166B90">
              <w:rPr>
                <w:rFonts w:cs="Arial"/>
                <w:b/>
                <w:szCs w:val="24"/>
                <w:lang w:val="fr-CA"/>
              </w:rPr>
              <w:t>(20</w:t>
            </w:r>
            <w:r w:rsidR="004F115D">
              <w:rPr>
                <w:rFonts w:cs="Arial"/>
                <w:b/>
                <w:szCs w:val="24"/>
                <w:lang w:val="fr-CA"/>
              </w:rPr>
              <w:t>23-01-17</w:t>
            </w:r>
            <w:r w:rsidRPr="00166B90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4B471BFB" w14:textId="77777777" w:rsidR="00F078E6" w:rsidRPr="00166B90" w:rsidRDefault="00F078E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166B90" w:rsidRPr="00166B90" w14:paraId="3AAA7083" w14:textId="77777777">
        <w:tc>
          <w:tcPr>
            <w:tcW w:w="10728" w:type="dxa"/>
            <w:gridSpan w:val="2"/>
          </w:tcPr>
          <w:p w14:paraId="02095264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Partie A : Engagement électoral</w:t>
            </w:r>
          </w:p>
        </w:tc>
      </w:tr>
      <w:tr w:rsidR="00166B90" w:rsidRPr="00166B90" w14:paraId="21F02BC8" w14:textId="77777777">
        <w:tc>
          <w:tcPr>
            <w:tcW w:w="2718" w:type="dxa"/>
          </w:tcPr>
          <w:p w14:paraId="37AB358C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8010" w:type="dxa"/>
          </w:tcPr>
          <w:p w14:paraId="3E32122D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66B90" w:rsidRPr="00166B90" w14:paraId="2E4B807E" w14:textId="77777777">
        <w:tc>
          <w:tcPr>
            <w:tcW w:w="2718" w:type="dxa"/>
          </w:tcPr>
          <w:p w14:paraId="15CC4C8F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Numéro</w:t>
            </w:r>
          </w:p>
        </w:tc>
        <w:tc>
          <w:tcPr>
            <w:tcW w:w="8010" w:type="dxa"/>
          </w:tcPr>
          <w:p w14:paraId="59A1C691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F078E6" w:rsidRPr="00166B90" w14:paraId="255D72B5" w14:textId="77777777">
        <w:tc>
          <w:tcPr>
            <w:tcW w:w="2718" w:type="dxa"/>
          </w:tcPr>
          <w:p w14:paraId="218D371E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Titre</w:t>
            </w:r>
          </w:p>
        </w:tc>
        <w:tc>
          <w:tcPr>
            <w:tcW w:w="8010" w:type="dxa"/>
          </w:tcPr>
          <w:p w14:paraId="41884F77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0D064181" w14:textId="77777777" w:rsidR="00F078E6" w:rsidRPr="00166B90" w:rsidRDefault="00F078E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166B90" w:rsidRPr="004F115D" w14:paraId="0EA1C2F8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440BAABC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 xml:space="preserve">Partie B : Décision du </w:t>
            </w:r>
            <w:r w:rsidR="00973538" w:rsidRPr="00166B90">
              <w:rPr>
                <w:rFonts w:cs="Arial"/>
                <w:b/>
                <w:lang w:val="fr-CA"/>
              </w:rPr>
              <w:t>c</w:t>
            </w:r>
            <w:r w:rsidRPr="00166B90">
              <w:rPr>
                <w:rFonts w:cs="Arial"/>
                <w:b/>
                <w:lang w:val="fr-CA"/>
              </w:rPr>
              <w:t>ontrôleur</w:t>
            </w:r>
          </w:p>
        </w:tc>
      </w:tr>
      <w:tr w:rsidR="00166B90" w:rsidRPr="004F115D" w14:paraId="6B92FF42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6EC1614F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166B90">
              <w:rPr>
                <w:rFonts w:cs="Arial"/>
                <w:szCs w:val="18"/>
                <w:lang w:val="fr-CA"/>
              </w:rPr>
              <w:t xml:space="preserve">Le document d’information susmentionné </w:t>
            </w:r>
            <w:r w:rsidRPr="00166B90">
              <w:rPr>
                <w:rFonts w:cs="Arial"/>
                <w:szCs w:val="18"/>
                <w:u w:val="single"/>
                <w:lang w:val="fr-CA"/>
              </w:rPr>
              <w:t>ne se conforme pas</w:t>
            </w:r>
            <w:r w:rsidRPr="00166B90">
              <w:rPr>
                <w:rFonts w:cs="Arial"/>
                <w:szCs w:val="18"/>
                <w:lang w:val="fr-CA"/>
              </w:rPr>
              <w:t xml:space="preserve"> à la </w:t>
            </w:r>
            <w:r w:rsidRPr="00166B90">
              <w:rPr>
                <w:rFonts w:cs="Arial"/>
                <w:i/>
                <w:szCs w:val="18"/>
                <w:lang w:val="fr-CA"/>
              </w:rPr>
              <w:t>Loi sur la transparence des engagements électoraux</w:t>
            </w:r>
            <w:r w:rsidRPr="00166B90">
              <w:rPr>
                <w:rFonts w:cs="Arial"/>
                <w:szCs w:val="18"/>
                <w:lang w:val="fr-CA"/>
              </w:rPr>
              <w:t xml:space="preserve"> et au </w:t>
            </w:r>
            <w:r w:rsidRPr="00166B90">
              <w:rPr>
                <w:rFonts w:cs="Arial"/>
                <w:i/>
                <w:szCs w:val="18"/>
                <w:lang w:val="fr-CA"/>
              </w:rPr>
              <w:t>Règlement général – Loi sur la transparence des engagements électoraux</w:t>
            </w:r>
            <w:r w:rsidRPr="00166B90">
              <w:rPr>
                <w:rFonts w:cs="Arial"/>
                <w:szCs w:val="18"/>
                <w:lang w:val="fr-CA"/>
              </w:rPr>
              <w:t>.</w:t>
            </w:r>
          </w:p>
          <w:p w14:paraId="0BBEFCE7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38F8DE4B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166B90">
              <w:rPr>
                <w:rFonts w:cs="Arial"/>
                <w:szCs w:val="18"/>
                <w:lang w:val="fr-CA"/>
              </w:rPr>
              <w:t xml:space="preserve">Les dispositions de la </w:t>
            </w:r>
            <w:r w:rsidRPr="00166B90">
              <w:rPr>
                <w:rFonts w:cs="Arial"/>
                <w:i/>
                <w:szCs w:val="18"/>
                <w:lang w:val="fr-CA"/>
              </w:rPr>
              <w:t xml:space="preserve">Loi </w:t>
            </w:r>
            <w:r w:rsidRPr="00166B90">
              <w:rPr>
                <w:rFonts w:cs="Arial"/>
                <w:szCs w:val="18"/>
                <w:lang w:val="fr-CA"/>
              </w:rPr>
              <w:t xml:space="preserve">ou du </w:t>
            </w:r>
            <w:r w:rsidRPr="00166B90">
              <w:rPr>
                <w:rFonts w:cs="Arial"/>
                <w:i/>
                <w:szCs w:val="18"/>
                <w:lang w:val="fr-CA"/>
              </w:rPr>
              <w:t xml:space="preserve">Règlement </w:t>
            </w:r>
            <w:r w:rsidRPr="00166B90">
              <w:rPr>
                <w:rFonts w:cs="Arial"/>
                <w:szCs w:val="18"/>
                <w:lang w:val="fr-CA"/>
              </w:rPr>
              <w:t>qui n’ont pas été respectées sont :</w:t>
            </w:r>
          </w:p>
          <w:p w14:paraId="3E74BBD0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1F55E8DD" w14:textId="77777777" w:rsidR="00F078E6" w:rsidRPr="00166B90" w:rsidRDefault="00876924">
            <w:pPr>
              <w:autoSpaceDE w:val="0"/>
              <w:autoSpaceDN w:val="0"/>
              <w:adjustRightInd w:val="0"/>
              <w:ind w:left="72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fr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F078E6" w:rsidRPr="00166B90">
              <w:rPr>
                <w:rFonts w:cs="Arial"/>
                <w:lang w:val="fr-CA"/>
              </w:rPr>
              <w:t xml:space="preserve"> indiquées sous la colonne « Non » dans le document </w:t>
            </w:r>
            <w:r w:rsidR="00F078E6" w:rsidRPr="00166B90">
              <w:rPr>
                <w:rFonts w:cs="Arial"/>
                <w:i/>
                <w:lang w:val="fr-CA"/>
              </w:rPr>
              <w:t xml:space="preserve">Examen par le </w:t>
            </w:r>
            <w:r w:rsidR="00973538" w:rsidRPr="00166B90">
              <w:rPr>
                <w:rFonts w:cs="Arial"/>
                <w:i/>
                <w:lang w:val="fr-CA"/>
              </w:rPr>
              <w:t>c</w:t>
            </w:r>
            <w:r w:rsidR="00F078E6" w:rsidRPr="00166B90">
              <w:rPr>
                <w:rFonts w:cs="Arial"/>
                <w:i/>
                <w:lang w:val="fr-CA"/>
              </w:rPr>
              <w:t xml:space="preserve">ontrôleur d’un document d’information sur un engagement électoral </w:t>
            </w:r>
            <w:r w:rsidR="00F078E6" w:rsidRPr="00166B90">
              <w:rPr>
                <w:rFonts w:cs="Arial"/>
                <w:lang w:val="fr-CA"/>
              </w:rPr>
              <w:t>en pièce jointe ou</w:t>
            </w:r>
          </w:p>
          <w:p w14:paraId="3DD33902" w14:textId="77777777" w:rsidR="00F078E6" w:rsidRPr="00166B90" w:rsidRDefault="00F078E6">
            <w:pPr>
              <w:autoSpaceDE w:val="0"/>
              <w:autoSpaceDN w:val="0"/>
              <w:adjustRightInd w:val="0"/>
              <w:ind w:left="720"/>
              <w:rPr>
                <w:rFonts w:cs="Arial"/>
                <w:szCs w:val="18"/>
                <w:lang w:val="fr-CA"/>
              </w:rPr>
            </w:pPr>
          </w:p>
          <w:p w14:paraId="6B3EC995" w14:textId="77777777" w:rsidR="00F078E6" w:rsidRPr="00166B90" w:rsidRDefault="00876924">
            <w:pPr>
              <w:autoSpaceDE w:val="0"/>
              <w:autoSpaceDN w:val="0"/>
              <w:adjustRightInd w:val="0"/>
              <w:ind w:left="72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fr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F078E6" w:rsidRPr="00166B90">
              <w:rPr>
                <w:rFonts w:cs="Arial"/>
                <w:lang w:val="fr-CA"/>
              </w:rPr>
              <w:t xml:space="preserve"> décrites ci-dessous :</w:t>
            </w:r>
          </w:p>
          <w:tbl>
            <w:tblPr>
              <w:tblW w:w="0" w:type="auto"/>
              <w:tblInd w:w="1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08"/>
            </w:tblGrid>
            <w:tr w:rsidR="00166B90" w:rsidRPr="004F115D" w14:paraId="3674B91D" w14:textId="77777777">
              <w:tc>
                <w:tcPr>
                  <w:tcW w:w="9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83A62" w14:textId="77777777" w:rsidR="00F078E6" w:rsidRPr="00166B90" w:rsidRDefault="00F078E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166B90" w:rsidRPr="004F115D" w14:paraId="715FD24C" w14:textId="77777777">
              <w:tc>
                <w:tcPr>
                  <w:tcW w:w="9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E5C83" w14:textId="77777777" w:rsidR="00F078E6" w:rsidRPr="00166B90" w:rsidRDefault="00F078E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  <w:tr w:rsidR="00166B90" w:rsidRPr="004F115D" w14:paraId="7F7ED312" w14:textId="77777777">
              <w:tc>
                <w:tcPr>
                  <w:tcW w:w="9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39D1B" w14:textId="77777777" w:rsidR="00F078E6" w:rsidRPr="00166B90" w:rsidRDefault="00F078E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fr-CA"/>
                    </w:rPr>
                  </w:pPr>
                </w:p>
              </w:tc>
            </w:tr>
          </w:tbl>
          <w:p w14:paraId="3F745792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6D504398" w14:textId="77777777" w:rsidR="00F078E6" w:rsidRPr="00166B90" w:rsidRDefault="00F078E6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166B90">
              <w:rPr>
                <w:rFonts w:cs="Arial"/>
                <w:szCs w:val="18"/>
                <w:lang w:val="fr-CA"/>
              </w:rPr>
              <w:t xml:space="preserve">Le </w:t>
            </w:r>
            <w:r w:rsidR="00973538" w:rsidRPr="00166B90">
              <w:rPr>
                <w:rFonts w:cs="Arial"/>
                <w:szCs w:val="18"/>
                <w:lang w:val="fr-CA"/>
              </w:rPr>
              <w:t>c</w:t>
            </w:r>
            <w:r w:rsidRPr="00166B90">
              <w:rPr>
                <w:rFonts w:cs="Arial"/>
                <w:szCs w:val="18"/>
                <w:lang w:val="fr-CA"/>
              </w:rPr>
              <w:t xml:space="preserve">ontrôleur </w:t>
            </w:r>
            <w:r w:rsidR="000631BD">
              <w:rPr>
                <w:rFonts w:cs="Arial"/>
                <w:szCs w:val="18"/>
                <w:lang w:val="fr-CA"/>
              </w:rPr>
              <w:t>ordonne</w:t>
            </w:r>
            <w:r w:rsidRPr="00166B90">
              <w:rPr>
                <w:rFonts w:cs="Arial"/>
                <w:szCs w:val="18"/>
                <w:lang w:val="fr-CA"/>
              </w:rPr>
              <w:t xml:space="preserve"> au représentant officiel du parti politique enregistré ci-dessus de :</w:t>
            </w:r>
          </w:p>
          <w:p w14:paraId="3B3E09F7" w14:textId="77777777" w:rsidR="00F078E6" w:rsidRPr="00166B90" w:rsidRDefault="000631B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  <w:lang w:val="fr-CA"/>
              </w:rPr>
            </w:pPr>
            <w:r>
              <w:rPr>
                <w:rFonts w:cs="Arial"/>
                <w:szCs w:val="18"/>
                <w:lang w:val="fr-CA"/>
              </w:rPr>
              <w:t>réviser</w:t>
            </w:r>
            <w:r w:rsidR="00F078E6" w:rsidRPr="00166B90">
              <w:rPr>
                <w:rFonts w:cs="Arial"/>
                <w:szCs w:val="18"/>
                <w:lang w:val="fr-CA"/>
              </w:rPr>
              <w:t xml:space="preserve"> le document d’information et tout document non conforme; </w:t>
            </w:r>
          </w:p>
          <w:p w14:paraId="56112A5C" w14:textId="77777777" w:rsidR="00F078E6" w:rsidRPr="00166B90" w:rsidRDefault="00F078E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  <w:lang w:val="fr-CA"/>
              </w:rPr>
            </w:pPr>
            <w:r w:rsidRPr="00166B90">
              <w:rPr>
                <w:rFonts w:cs="Arial"/>
                <w:szCs w:val="18"/>
                <w:lang w:val="fr-CA"/>
              </w:rPr>
              <w:t xml:space="preserve">déposer un nouveau document d’information au même numéro d’identification </w:t>
            </w:r>
            <w:r w:rsidRPr="00166B90">
              <w:rPr>
                <w:rFonts w:cs="Arial"/>
                <w:szCs w:val="18"/>
                <w:u w:val="single"/>
                <w:lang w:val="fr-CA"/>
              </w:rPr>
              <w:t xml:space="preserve">dans les 24 heures suivant l’envoi par courrier électronique du présent avis par le </w:t>
            </w:r>
            <w:r w:rsidR="00973538" w:rsidRPr="00166B90">
              <w:rPr>
                <w:rFonts w:cs="Arial"/>
                <w:szCs w:val="18"/>
                <w:u w:val="single"/>
                <w:lang w:val="fr-CA"/>
              </w:rPr>
              <w:t>c</w:t>
            </w:r>
            <w:r w:rsidRPr="00166B90">
              <w:rPr>
                <w:rFonts w:cs="Arial"/>
                <w:szCs w:val="18"/>
                <w:u w:val="single"/>
                <w:lang w:val="fr-CA"/>
              </w:rPr>
              <w:t>ontrôleur au représentant officiel.</w:t>
            </w:r>
          </w:p>
        </w:tc>
      </w:tr>
    </w:tbl>
    <w:p w14:paraId="01578024" w14:textId="77777777" w:rsidR="00F078E6" w:rsidRPr="00166B90" w:rsidRDefault="00F078E6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166B90" w:rsidRPr="004F115D" w14:paraId="45D4A424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14DB8D9E" w14:textId="77777777" w:rsidR="00F078E6" w:rsidRPr="00166B90" w:rsidRDefault="00F078E6" w:rsidP="007D71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 xml:space="preserve">Partie C : </w:t>
            </w:r>
            <w:r w:rsidR="007D71D5">
              <w:rPr>
                <w:rFonts w:cs="Arial"/>
                <w:b/>
                <w:lang w:val="fr-CA"/>
              </w:rPr>
              <w:t>Défaut</w:t>
            </w:r>
            <w:r w:rsidR="00A04DB0">
              <w:rPr>
                <w:rFonts w:cs="Arial"/>
                <w:b/>
                <w:lang w:val="fr-CA"/>
              </w:rPr>
              <w:t xml:space="preserve"> de se conformer à</w:t>
            </w:r>
            <w:r w:rsidRPr="00166B90">
              <w:rPr>
                <w:rFonts w:cs="Arial"/>
                <w:b/>
                <w:lang w:val="fr-CA"/>
              </w:rPr>
              <w:t xml:space="preserve"> l’avis</w:t>
            </w:r>
          </w:p>
        </w:tc>
      </w:tr>
      <w:tr w:rsidR="00166B90" w:rsidRPr="004F115D" w14:paraId="144002CF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09A9D1D6" w14:textId="77777777" w:rsidR="00F078E6" w:rsidRPr="00166B90" w:rsidRDefault="00F078E6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spacing w:after="120"/>
              <w:rPr>
                <w:rFonts w:cs="Arial"/>
                <w:szCs w:val="18"/>
                <w:lang w:val="fr-CA"/>
              </w:rPr>
            </w:pPr>
            <w:r w:rsidRPr="00166B90">
              <w:rPr>
                <w:rFonts w:cs="Arial"/>
                <w:szCs w:val="18"/>
                <w:lang w:val="fr-CA"/>
              </w:rPr>
              <w:t xml:space="preserve">Si le parti </w:t>
            </w:r>
            <w:r w:rsidR="000631BD">
              <w:rPr>
                <w:rFonts w:cs="Arial"/>
                <w:szCs w:val="18"/>
                <w:lang w:val="fr-CA"/>
              </w:rPr>
              <w:t xml:space="preserve">politique enregistré n’obtempère </w:t>
            </w:r>
            <w:r w:rsidRPr="00166B90">
              <w:rPr>
                <w:rFonts w:cs="Arial"/>
                <w:szCs w:val="18"/>
                <w:lang w:val="fr-CA"/>
              </w:rPr>
              <w:t>pas</w:t>
            </w:r>
            <w:r w:rsidR="000631BD">
              <w:rPr>
                <w:rFonts w:cs="Arial"/>
                <w:szCs w:val="18"/>
                <w:lang w:val="fr-CA"/>
              </w:rPr>
              <w:t xml:space="preserve"> à l’ordre dans le p</w:t>
            </w:r>
            <w:r w:rsidRPr="00166B90">
              <w:rPr>
                <w:rFonts w:cs="Arial"/>
                <w:szCs w:val="18"/>
                <w:lang w:val="fr-CA"/>
              </w:rPr>
              <w:t>résent avis, il :</w:t>
            </w:r>
          </w:p>
          <w:p w14:paraId="52E3A4F4" w14:textId="77777777" w:rsidR="00F078E6" w:rsidRPr="00166B90" w:rsidRDefault="000631BD">
            <w:pPr>
              <w:numPr>
                <w:ilvl w:val="0"/>
                <w:numId w:val="26"/>
              </w:num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  <w:lang w:val="fr-CA"/>
              </w:rPr>
            </w:pPr>
            <w:r>
              <w:rPr>
                <w:rFonts w:cs="Arial"/>
                <w:szCs w:val="18"/>
                <w:lang w:val="fr-CA"/>
              </w:rPr>
              <w:t>est interdit de</w:t>
            </w:r>
            <w:r w:rsidR="00F078E6" w:rsidRPr="00166B90">
              <w:rPr>
                <w:rFonts w:cs="Arial"/>
                <w:szCs w:val="18"/>
                <w:lang w:val="fr-CA"/>
              </w:rPr>
              <w:t xml:space="preserve"> faire de publicité </w:t>
            </w:r>
            <w:r>
              <w:rPr>
                <w:rFonts w:cs="Arial"/>
                <w:szCs w:val="18"/>
                <w:lang w:val="fr-CA"/>
              </w:rPr>
              <w:t>pour la durée</w:t>
            </w:r>
            <w:r w:rsidR="00F078E6" w:rsidRPr="00166B90">
              <w:rPr>
                <w:rFonts w:cs="Arial"/>
                <w:szCs w:val="18"/>
                <w:lang w:val="fr-CA"/>
              </w:rPr>
              <w:t xml:space="preserve"> de la période électorale;</w:t>
            </w:r>
          </w:p>
          <w:p w14:paraId="023C16E9" w14:textId="77777777" w:rsidR="00F078E6" w:rsidRPr="00166B90" w:rsidRDefault="000631BD">
            <w:pPr>
              <w:numPr>
                <w:ilvl w:val="0"/>
                <w:numId w:val="26"/>
              </w:num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  <w:lang w:val="fr-CA"/>
              </w:rPr>
            </w:pPr>
            <w:r>
              <w:rPr>
                <w:rFonts w:cs="Arial"/>
                <w:szCs w:val="18"/>
                <w:lang w:val="fr-CA"/>
              </w:rPr>
              <w:t>se rend passible d’u</w:t>
            </w:r>
            <w:r w:rsidR="00F078E6" w:rsidRPr="00166B90">
              <w:rPr>
                <w:rFonts w:cs="Arial"/>
                <w:szCs w:val="18"/>
                <w:lang w:val="fr-CA"/>
              </w:rPr>
              <w:t>ne amende administrative de 500 $.</w:t>
            </w:r>
          </w:p>
          <w:p w14:paraId="56479C32" w14:textId="77777777" w:rsidR="00F078E6" w:rsidRPr="00166B90" w:rsidRDefault="000631BD" w:rsidP="000631BD">
            <w:p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 xml:space="preserve">La province </w:t>
            </w:r>
            <w:r w:rsidR="00F078E6" w:rsidRPr="00166B90">
              <w:rPr>
                <w:rFonts w:cs="Arial"/>
                <w:lang w:val="fr-CA"/>
              </w:rPr>
              <w:t>peut entamer une poursuite et recouvrer une amende administrative dans le cadre d’une action dans tout tribunal, comme si le montant était une créance.</w:t>
            </w:r>
          </w:p>
        </w:tc>
      </w:tr>
    </w:tbl>
    <w:p w14:paraId="76B8851B" w14:textId="77777777" w:rsidR="00F078E6" w:rsidRPr="00166B90" w:rsidRDefault="00F078E6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4680"/>
      </w:tblGrid>
      <w:tr w:rsidR="00166B90" w:rsidRPr="00166B90" w14:paraId="210D10D0" w14:textId="77777777">
        <w:tc>
          <w:tcPr>
            <w:tcW w:w="10728" w:type="dxa"/>
            <w:gridSpan w:val="2"/>
          </w:tcPr>
          <w:p w14:paraId="1FD748B5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Partie D : Signature</w:t>
            </w:r>
          </w:p>
        </w:tc>
      </w:tr>
      <w:tr w:rsidR="00F078E6" w:rsidRPr="00166B90" w14:paraId="2F0523AF" w14:textId="77777777">
        <w:tc>
          <w:tcPr>
            <w:tcW w:w="6048" w:type="dxa"/>
          </w:tcPr>
          <w:p w14:paraId="0D4AB2DD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166B90">
              <w:rPr>
                <w:rFonts w:cs="Arial"/>
                <w:lang w:val="fr-CA"/>
              </w:rPr>
              <w:t>Contrôleur du financement politique</w:t>
            </w:r>
          </w:p>
          <w:p w14:paraId="05BC7DB7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2B2F7627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680" w:type="dxa"/>
          </w:tcPr>
          <w:p w14:paraId="56D47123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>Date</w:t>
            </w:r>
          </w:p>
        </w:tc>
      </w:tr>
    </w:tbl>
    <w:p w14:paraId="7336AD7D" w14:textId="77777777" w:rsidR="00F078E6" w:rsidRPr="00166B90" w:rsidRDefault="00F078E6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6030"/>
      </w:tblGrid>
      <w:tr w:rsidR="00166B90" w:rsidRPr="00166B90" w14:paraId="1034124F" w14:textId="77777777">
        <w:tc>
          <w:tcPr>
            <w:tcW w:w="10728" w:type="dxa"/>
            <w:gridSpan w:val="2"/>
          </w:tcPr>
          <w:p w14:paraId="13AA881A" w14:textId="77777777" w:rsidR="00F078E6" w:rsidRPr="00166B90" w:rsidRDefault="00F078E6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166B90">
              <w:rPr>
                <w:rFonts w:cs="Arial"/>
                <w:b/>
                <w:lang w:val="fr-CA"/>
              </w:rPr>
              <w:t>Partie E : Suivi</w:t>
            </w:r>
          </w:p>
        </w:tc>
      </w:tr>
      <w:tr w:rsidR="00166B90" w:rsidRPr="004F115D" w14:paraId="17964F41" w14:textId="77777777">
        <w:tc>
          <w:tcPr>
            <w:tcW w:w="4698" w:type="dxa"/>
          </w:tcPr>
          <w:p w14:paraId="38AF1167" w14:textId="77777777" w:rsidR="00F078E6" w:rsidRPr="00166B90" w:rsidRDefault="0087692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fr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F078E6" w:rsidRPr="00166B90">
              <w:rPr>
                <w:rFonts w:cs="Arial"/>
                <w:lang w:val="fr-CA"/>
              </w:rPr>
              <w:t xml:space="preserve"> Joindre le courriel sur l’envoi.</w:t>
            </w:r>
          </w:p>
        </w:tc>
        <w:tc>
          <w:tcPr>
            <w:tcW w:w="6030" w:type="dxa"/>
          </w:tcPr>
          <w:p w14:paraId="2F3B78CE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>Date et heure de l’envoi</w:t>
            </w:r>
            <w:r w:rsidR="00A04DB0">
              <w:rPr>
                <w:rFonts w:cs="Arial"/>
                <w:lang w:val="fr-CA"/>
              </w:rPr>
              <w:t> :</w:t>
            </w:r>
          </w:p>
        </w:tc>
      </w:tr>
      <w:tr w:rsidR="00166B90" w:rsidRPr="004F115D" w14:paraId="02B78AAC" w14:textId="77777777">
        <w:tc>
          <w:tcPr>
            <w:tcW w:w="4698" w:type="dxa"/>
          </w:tcPr>
          <w:p w14:paraId="7C6B30F9" w14:textId="77777777" w:rsidR="00F078E6" w:rsidRPr="00166B90" w:rsidRDefault="0087692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en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F078E6" w:rsidRPr="00166B90">
              <w:rPr>
                <w:rFonts w:cs="Arial"/>
                <w:lang w:val="fr-CA"/>
              </w:rPr>
              <w:t xml:space="preserve"> Appel du représentant officiel.</w:t>
            </w:r>
          </w:p>
        </w:tc>
        <w:tc>
          <w:tcPr>
            <w:tcW w:w="6030" w:type="dxa"/>
          </w:tcPr>
          <w:p w14:paraId="3742C1C9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>Nom de l’appelant, date et heure</w:t>
            </w:r>
          </w:p>
          <w:p w14:paraId="17110347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166B90" w:rsidRPr="004F115D" w14:paraId="5C24692D" w14:textId="77777777">
        <w:tc>
          <w:tcPr>
            <w:tcW w:w="4698" w:type="dxa"/>
          </w:tcPr>
          <w:p w14:paraId="564F8DB9" w14:textId="77777777" w:rsidR="00F078E6" w:rsidRPr="00166B90" w:rsidRDefault="0087692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fr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F078E6" w:rsidRPr="00166B90">
              <w:rPr>
                <w:rFonts w:cs="Arial"/>
                <w:lang w:val="fr-CA"/>
              </w:rPr>
              <w:t xml:space="preserve"> Document d’information </w:t>
            </w:r>
            <w:r w:rsidR="000631BD">
              <w:rPr>
                <w:rFonts w:cs="Arial"/>
                <w:lang w:val="fr-CA"/>
              </w:rPr>
              <w:t>révisé</w:t>
            </w:r>
            <w:r w:rsidR="00F078E6" w:rsidRPr="00166B90">
              <w:rPr>
                <w:rFonts w:cs="Arial"/>
                <w:lang w:val="fr-CA"/>
              </w:rPr>
              <w:t xml:space="preserve"> reçu.</w:t>
            </w:r>
          </w:p>
          <w:p w14:paraId="44FCD69D" w14:textId="77777777" w:rsidR="00F078E6" w:rsidRPr="00166B90" w:rsidRDefault="00F078E6" w:rsidP="000631B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 xml:space="preserve">Examen du document </w:t>
            </w:r>
            <w:r w:rsidR="000631BD">
              <w:rPr>
                <w:rFonts w:cs="Arial"/>
                <w:lang w:val="fr-CA"/>
              </w:rPr>
              <w:t>révisé</w:t>
            </w:r>
            <w:r w:rsidRPr="00166B90">
              <w:rPr>
                <w:rFonts w:cs="Arial"/>
                <w:lang w:val="fr-CA"/>
              </w:rPr>
              <w:t>.</w:t>
            </w:r>
          </w:p>
        </w:tc>
        <w:tc>
          <w:tcPr>
            <w:tcW w:w="6030" w:type="dxa"/>
          </w:tcPr>
          <w:p w14:paraId="32C21ECD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>Date et heure de réception</w:t>
            </w:r>
          </w:p>
        </w:tc>
      </w:tr>
      <w:tr w:rsidR="00F078E6" w:rsidRPr="00166B90" w14:paraId="7D9BA76A" w14:textId="77777777">
        <w:tc>
          <w:tcPr>
            <w:tcW w:w="4698" w:type="dxa"/>
          </w:tcPr>
          <w:p w14:paraId="7BE3C0DB" w14:textId="77777777" w:rsidR="00F078E6" w:rsidRPr="00166B90" w:rsidRDefault="00876924" w:rsidP="000631B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0">
              <w:rPr>
                <w:rFonts w:cs="Arial"/>
                <w:lang w:val="fr-CA"/>
              </w:rPr>
              <w:instrText xml:space="preserve"> FORMCHECKBOX </w:instrText>
            </w:r>
            <w:r w:rsidR="004F115D">
              <w:rPr>
                <w:rFonts w:cs="Arial"/>
                <w:lang w:val="en-CA"/>
              </w:rPr>
            </w:r>
            <w:r w:rsidR="004F115D">
              <w:rPr>
                <w:rFonts w:cs="Arial"/>
                <w:lang w:val="en-CA"/>
              </w:rPr>
              <w:fldChar w:fldCharType="separate"/>
            </w:r>
            <w:r w:rsidRPr="00166B90">
              <w:rPr>
                <w:rFonts w:cs="Arial"/>
                <w:lang w:val="en-CA"/>
              </w:rPr>
              <w:fldChar w:fldCharType="end"/>
            </w:r>
            <w:r w:rsidR="0002505C" w:rsidRPr="00166B90">
              <w:rPr>
                <w:rFonts w:cs="Arial"/>
                <w:lang w:val="fr-CA"/>
              </w:rPr>
              <w:t xml:space="preserve"> </w:t>
            </w:r>
            <w:r w:rsidR="00F078E6" w:rsidRPr="00166B90">
              <w:rPr>
                <w:rFonts w:cs="Arial"/>
                <w:lang w:val="fr-CA"/>
              </w:rPr>
              <w:t xml:space="preserve">Le parti politique </w:t>
            </w:r>
            <w:r w:rsidR="000631BD">
              <w:rPr>
                <w:rFonts w:cs="Arial"/>
                <w:lang w:val="fr-CA"/>
              </w:rPr>
              <w:t>n’obtempère pas à</w:t>
            </w:r>
            <w:r w:rsidR="00F078E6" w:rsidRPr="00166B90">
              <w:rPr>
                <w:rFonts w:cs="Arial"/>
                <w:lang w:val="fr-CA"/>
              </w:rPr>
              <w:t xml:space="preserve"> cet avis. Envoi de l’</w:t>
            </w:r>
            <w:r w:rsidR="00F078E6" w:rsidRPr="00166B90">
              <w:rPr>
                <w:rFonts w:cs="Arial"/>
                <w:i/>
                <w:lang w:val="fr-CA"/>
              </w:rPr>
              <w:t>Avis d’amende administrative.</w:t>
            </w:r>
          </w:p>
        </w:tc>
        <w:tc>
          <w:tcPr>
            <w:tcW w:w="6030" w:type="dxa"/>
          </w:tcPr>
          <w:p w14:paraId="6B6A85C5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66B90">
              <w:rPr>
                <w:rFonts w:cs="Arial"/>
                <w:lang w:val="fr-CA"/>
              </w:rPr>
              <w:t>Signature et date</w:t>
            </w:r>
          </w:p>
          <w:p w14:paraId="709ACC47" w14:textId="77777777" w:rsidR="00F078E6" w:rsidRPr="00166B90" w:rsidRDefault="00F078E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</w:tbl>
    <w:p w14:paraId="577295CD" w14:textId="77777777" w:rsidR="00F078E6" w:rsidRPr="00166B90" w:rsidRDefault="00F078E6" w:rsidP="00037E32">
      <w:pPr>
        <w:outlineLvl w:val="0"/>
        <w:rPr>
          <w:rFonts w:cs="Arial"/>
          <w:lang w:val="fr-CA"/>
        </w:rPr>
      </w:pPr>
    </w:p>
    <w:sectPr w:rsidR="00F078E6" w:rsidRPr="00166B90" w:rsidSect="00037E32">
      <w:footerReference w:type="default" r:id="rId9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AB30" w14:textId="77777777" w:rsidR="00347FC6" w:rsidRDefault="00347FC6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039ABFB0" w14:textId="77777777" w:rsidR="00347FC6" w:rsidRDefault="00347FC6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F7CC" w14:textId="77777777" w:rsidR="00F078E6" w:rsidRPr="00166B90" w:rsidRDefault="00F078E6">
    <w:pPr>
      <w:pStyle w:val="Footer"/>
      <w:jc w:val="right"/>
      <w:rPr>
        <w:lang w:val="fr-CA"/>
      </w:rPr>
    </w:pPr>
    <w:r w:rsidRPr="00166B90">
      <w:rPr>
        <w:lang w:val="fr-CA"/>
      </w:rPr>
      <w:t xml:space="preserve">Page </w:t>
    </w:r>
    <w:r w:rsidR="00876924" w:rsidRPr="00166B90">
      <w:rPr>
        <w:lang w:val="fr-CA"/>
      </w:rPr>
      <w:fldChar w:fldCharType="begin"/>
    </w:r>
    <w:r w:rsidR="00876924" w:rsidRPr="00166B90">
      <w:rPr>
        <w:lang w:val="fr-CA"/>
      </w:rPr>
      <w:instrText xml:space="preserve"> PAGE   \* MERGEFORMAT </w:instrText>
    </w:r>
    <w:r w:rsidR="00876924" w:rsidRPr="00166B90">
      <w:rPr>
        <w:lang w:val="fr-CA"/>
      </w:rPr>
      <w:fldChar w:fldCharType="separate"/>
    </w:r>
    <w:r w:rsidR="003E7976">
      <w:rPr>
        <w:noProof/>
        <w:lang w:val="fr-CA"/>
      </w:rPr>
      <w:t>1</w:t>
    </w:r>
    <w:r w:rsidR="00876924" w:rsidRPr="00166B90">
      <w:rPr>
        <w:lang w:val="fr-CA"/>
      </w:rPr>
      <w:fldChar w:fldCharType="end"/>
    </w:r>
    <w:r w:rsidRPr="00166B90">
      <w:rPr>
        <w:lang w:val="fr-CA"/>
      </w:rPr>
      <w:t>/</w:t>
    </w:r>
    <w:r w:rsidR="00876924" w:rsidRPr="00166B90">
      <w:rPr>
        <w:noProof/>
        <w:lang w:val="fr-CA"/>
      </w:rPr>
      <w:fldChar w:fldCharType="begin"/>
    </w:r>
    <w:r w:rsidR="00876924" w:rsidRPr="00166B90">
      <w:rPr>
        <w:noProof/>
        <w:lang w:val="fr-CA"/>
      </w:rPr>
      <w:instrText xml:space="preserve"> NUMPAGES   \* MERGEFORMAT </w:instrText>
    </w:r>
    <w:r w:rsidR="00876924" w:rsidRPr="00166B90">
      <w:rPr>
        <w:noProof/>
        <w:lang w:val="fr-CA"/>
      </w:rPr>
      <w:fldChar w:fldCharType="separate"/>
    </w:r>
    <w:r w:rsidR="003E7976">
      <w:rPr>
        <w:noProof/>
        <w:lang w:val="fr-CA"/>
      </w:rPr>
      <w:t>1</w:t>
    </w:r>
    <w:r w:rsidR="00876924" w:rsidRPr="00166B90">
      <w:rPr>
        <w:noProof/>
        <w:lang w:val="fr-CA"/>
      </w:rPr>
      <w:fldChar w:fldCharType="end"/>
    </w:r>
  </w:p>
  <w:p w14:paraId="534829CB" w14:textId="77777777" w:rsidR="00F078E6" w:rsidRDefault="00F078E6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6FF2" w14:textId="77777777" w:rsidR="00347FC6" w:rsidRDefault="00347FC6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0BF3DFC4" w14:textId="77777777" w:rsidR="00347FC6" w:rsidRDefault="00347FC6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A11"/>
    <w:multiLevelType w:val="hybridMultilevel"/>
    <w:tmpl w:val="0D4A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82CFB"/>
    <w:multiLevelType w:val="hybridMultilevel"/>
    <w:tmpl w:val="97C6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E44"/>
    <w:multiLevelType w:val="hybridMultilevel"/>
    <w:tmpl w:val="76B8DF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972"/>
    <w:multiLevelType w:val="hybridMultilevel"/>
    <w:tmpl w:val="78CC90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C5DF9"/>
    <w:multiLevelType w:val="hybridMultilevel"/>
    <w:tmpl w:val="BA70FF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E1616D2"/>
    <w:multiLevelType w:val="hybridMultilevel"/>
    <w:tmpl w:val="71C4DCC2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5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9"/>
  </w:num>
  <w:num w:numId="17">
    <w:abstractNumId w:val="24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23"/>
  </w:num>
  <w:num w:numId="23">
    <w:abstractNumId w:val="22"/>
  </w:num>
  <w:num w:numId="24">
    <w:abstractNumId w:val="14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677"/>
    <w:rsid w:val="0002505C"/>
    <w:rsid w:val="00037E32"/>
    <w:rsid w:val="000631BD"/>
    <w:rsid w:val="00077F16"/>
    <w:rsid w:val="00166B90"/>
    <w:rsid w:val="001F0EF9"/>
    <w:rsid w:val="00347FC6"/>
    <w:rsid w:val="003A42FB"/>
    <w:rsid w:val="003E7976"/>
    <w:rsid w:val="004321F0"/>
    <w:rsid w:val="004F115D"/>
    <w:rsid w:val="007D71D5"/>
    <w:rsid w:val="00824677"/>
    <w:rsid w:val="00826267"/>
    <w:rsid w:val="00876924"/>
    <w:rsid w:val="00973538"/>
    <w:rsid w:val="00A04DB0"/>
    <w:rsid w:val="00AC23B6"/>
    <w:rsid w:val="00D5124F"/>
    <w:rsid w:val="00F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7D81B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873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258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8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2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2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586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587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857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258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8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2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2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6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584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62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587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9B2C-3A5A-4927-9B79-24F71196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New Brunswick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9</cp:revision>
  <cp:lastPrinted>2018-07-30T19:21:00Z</cp:lastPrinted>
  <dcterms:created xsi:type="dcterms:W3CDTF">2018-07-24T17:08:00Z</dcterms:created>
  <dcterms:modified xsi:type="dcterms:W3CDTF">2023-01-17T19:15:00Z</dcterms:modified>
</cp:coreProperties>
</file>