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03063F" w:rsidRPr="001368D4" w14:paraId="6EE5C769" w14:textId="77777777">
        <w:trPr>
          <w:trHeight w:val="540"/>
        </w:trPr>
        <w:tc>
          <w:tcPr>
            <w:tcW w:w="3770" w:type="pct"/>
            <w:vAlign w:val="center"/>
          </w:tcPr>
          <w:p w14:paraId="41B93DB4" w14:textId="77777777" w:rsidR="0003063F" w:rsidRPr="001368D4" w:rsidRDefault="0003063F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1368D4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Examen par le </w:t>
            </w:r>
            <w:r w:rsidR="00B612CA" w:rsidRPr="001368D4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>c</w:t>
            </w:r>
            <w:r w:rsidRPr="001368D4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>ontrôleur d’un document d’information sur un engagement électoral</w:t>
            </w:r>
          </w:p>
          <w:p w14:paraId="7A80F8EE" w14:textId="77777777" w:rsidR="0003063F" w:rsidRPr="0051512B" w:rsidRDefault="0003063F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51512B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 2018, c. 1, article 7)</w:t>
            </w:r>
          </w:p>
        </w:tc>
        <w:tc>
          <w:tcPr>
            <w:tcW w:w="405" w:type="pct"/>
            <w:vAlign w:val="center"/>
          </w:tcPr>
          <w:p w14:paraId="40DABACC" w14:textId="6D6967D6" w:rsidR="0003063F" w:rsidRPr="001368D4" w:rsidRDefault="00461032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FC17EE4" wp14:editId="3D2DDE4D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223CF329" w14:textId="77777777" w:rsidR="0003063F" w:rsidRPr="001368D4" w:rsidRDefault="0003063F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1368D4">
              <w:rPr>
                <w:rFonts w:cs="Arial"/>
                <w:b/>
                <w:sz w:val="32"/>
                <w:szCs w:val="36"/>
                <w:lang w:val="fr-CA"/>
              </w:rPr>
              <w:t>P 10 00</w:t>
            </w:r>
            <w:r w:rsidR="00C71CCA">
              <w:rPr>
                <w:rFonts w:cs="Arial"/>
                <w:b/>
                <w:sz w:val="32"/>
                <w:szCs w:val="36"/>
                <w:lang w:val="fr-CA"/>
              </w:rPr>
              <w:t>8</w:t>
            </w:r>
          </w:p>
          <w:p w14:paraId="17493793" w14:textId="6E5C4B78" w:rsidR="0003063F" w:rsidRPr="001368D4" w:rsidRDefault="0003063F" w:rsidP="00152E0F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1368D4">
              <w:rPr>
                <w:rFonts w:cs="Arial"/>
                <w:b/>
                <w:szCs w:val="24"/>
                <w:lang w:val="fr-CA"/>
              </w:rPr>
              <w:t>(20</w:t>
            </w:r>
            <w:r w:rsidR="00461032">
              <w:rPr>
                <w:rFonts w:cs="Arial"/>
                <w:b/>
                <w:szCs w:val="24"/>
                <w:lang w:val="fr-CA"/>
              </w:rPr>
              <w:t>22-12-13</w:t>
            </w:r>
            <w:r w:rsidRPr="001368D4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001FEC27" w14:textId="77777777" w:rsidR="0003063F" w:rsidRPr="001368D4" w:rsidRDefault="0003063F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670"/>
        <w:gridCol w:w="2670"/>
        <w:gridCol w:w="2670"/>
      </w:tblGrid>
      <w:tr w:rsidR="001368D4" w:rsidRPr="001368D4" w14:paraId="6EF5E071" w14:textId="77777777">
        <w:tc>
          <w:tcPr>
            <w:tcW w:w="10728" w:type="dxa"/>
            <w:gridSpan w:val="4"/>
          </w:tcPr>
          <w:p w14:paraId="63B341F3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Partie A : Engagement électoral</w:t>
            </w:r>
          </w:p>
        </w:tc>
      </w:tr>
      <w:tr w:rsidR="001368D4" w:rsidRPr="001368D4" w14:paraId="23B78A3E" w14:textId="77777777">
        <w:tc>
          <w:tcPr>
            <w:tcW w:w="2718" w:type="dxa"/>
          </w:tcPr>
          <w:p w14:paraId="69B03D1E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8010" w:type="dxa"/>
            <w:gridSpan w:val="3"/>
          </w:tcPr>
          <w:p w14:paraId="2925A1A9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368D4" w:rsidRPr="001368D4" w14:paraId="24ECA831" w14:textId="77777777">
        <w:tc>
          <w:tcPr>
            <w:tcW w:w="2718" w:type="dxa"/>
          </w:tcPr>
          <w:p w14:paraId="533F28B1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Numéro</w:t>
            </w:r>
          </w:p>
        </w:tc>
        <w:tc>
          <w:tcPr>
            <w:tcW w:w="8010" w:type="dxa"/>
            <w:gridSpan w:val="3"/>
          </w:tcPr>
          <w:p w14:paraId="3908E2AC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368D4" w:rsidRPr="001368D4" w14:paraId="58A2E627" w14:textId="77777777">
        <w:tc>
          <w:tcPr>
            <w:tcW w:w="2718" w:type="dxa"/>
          </w:tcPr>
          <w:p w14:paraId="25FD331F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Titre</w:t>
            </w:r>
          </w:p>
        </w:tc>
        <w:tc>
          <w:tcPr>
            <w:tcW w:w="8010" w:type="dxa"/>
            <w:gridSpan w:val="3"/>
          </w:tcPr>
          <w:p w14:paraId="7D9F057F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1368D4" w:rsidRPr="00461032" w14:paraId="19FA4212" w14:textId="77777777">
        <w:tc>
          <w:tcPr>
            <w:tcW w:w="2718" w:type="dxa"/>
          </w:tcPr>
          <w:p w14:paraId="7C643A4F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Jour et date de réception</w:t>
            </w:r>
          </w:p>
        </w:tc>
        <w:tc>
          <w:tcPr>
            <w:tcW w:w="2670" w:type="dxa"/>
          </w:tcPr>
          <w:p w14:paraId="2C1DE83B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</w:tc>
        <w:tc>
          <w:tcPr>
            <w:tcW w:w="2670" w:type="dxa"/>
          </w:tcPr>
          <w:p w14:paraId="1262D8E8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Deux jours ouvrables plus tard</w:t>
            </w:r>
          </w:p>
        </w:tc>
        <w:tc>
          <w:tcPr>
            <w:tcW w:w="2670" w:type="dxa"/>
          </w:tcPr>
          <w:p w14:paraId="7527FBF8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</w:p>
        </w:tc>
      </w:tr>
    </w:tbl>
    <w:p w14:paraId="30C57273" w14:textId="77777777" w:rsidR="0003063F" w:rsidRPr="001368D4" w:rsidRDefault="0003063F">
      <w:pPr>
        <w:outlineLvl w:val="0"/>
        <w:rPr>
          <w:rFonts w:cs="Arial"/>
          <w:sz w:val="22"/>
          <w:lang w:val="fr-C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610"/>
        <w:gridCol w:w="630"/>
        <w:gridCol w:w="8910"/>
      </w:tblGrid>
      <w:tr w:rsidR="001368D4" w:rsidRPr="00461032" w14:paraId="0755A51F" w14:textId="77777777" w:rsidTr="0051512B">
        <w:tc>
          <w:tcPr>
            <w:tcW w:w="10728" w:type="dxa"/>
            <w:gridSpan w:val="4"/>
          </w:tcPr>
          <w:p w14:paraId="21C46B50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 xml:space="preserve">Partie B : Le document d’information a-t-il été rédigé selon les dispositions suivantes de la </w:t>
            </w:r>
            <w:r w:rsidRPr="001368D4">
              <w:rPr>
                <w:rFonts w:cs="Arial"/>
                <w:b/>
                <w:i/>
                <w:lang w:val="fr-CA"/>
              </w:rPr>
              <w:t>Loi sur la transparence des engagements électoraux</w:t>
            </w:r>
            <w:r w:rsidRPr="001368D4">
              <w:rPr>
                <w:rFonts w:cs="Arial"/>
                <w:b/>
                <w:lang w:val="fr-CA"/>
              </w:rPr>
              <w:t xml:space="preserve"> et du </w:t>
            </w:r>
            <w:r w:rsidRPr="001368D4">
              <w:rPr>
                <w:rFonts w:cs="Arial"/>
                <w:b/>
                <w:i/>
                <w:lang w:val="fr-CA"/>
              </w:rPr>
              <w:t>Règlement général – Loi sur la transparence des engagements électoraux?</w:t>
            </w:r>
          </w:p>
        </w:tc>
      </w:tr>
      <w:tr w:rsidR="001368D4" w:rsidRPr="001368D4" w14:paraId="7818DEB4" w14:textId="77777777" w:rsidTr="0051512B">
        <w:trPr>
          <w:cantSplit/>
          <w:trHeight w:val="432"/>
        </w:trPr>
        <w:tc>
          <w:tcPr>
            <w:tcW w:w="578" w:type="dxa"/>
          </w:tcPr>
          <w:p w14:paraId="7BAC4D8E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ascii="Arial" w:hAnsi="Arial" w:cs="Arial"/>
                <w:b/>
                <w:sz w:val="20"/>
                <w:szCs w:val="16"/>
                <w:lang w:val="fr-CA"/>
              </w:rPr>
              <w:t>Oui</w:t>
            </w:r>
          </w:p>
        </w:tc>
        <w:tc>
          <w:tcPr>
            <w:tcW w:w="610" w:type="dxa"/>
          </w:tcPr>
          <w:p w14:paraId="1C2842BD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ascii="Arial" w:hAnsi="Arial" w:cs="Arial"/>
                <w:b/>
                <w:sz w:val="20"/>
                <w:szCs w:val="16"/>
                <w:lang w:val="fr-CA"/>
              </w:rPr>
              <w:t>Non</w:t>
            </w:r>
          </w:p>
        </w:tc>
        <w:tc>
          <w:tcPr>
            <w:tcW w:w="630" w:type="dxa"/>
          </w:tcPr>
          <w:p w14:paraId="4F9513C4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4"/>
                <w:szCs w:val="16"/>
                <w:lang w:val="fr-CA"/>
              </w:rPr>
            </w:pPr>
            <w:r w:rsidRPr="001368D4">
              <w:rPr>
                <w:rFonts w:ascii="Arial" w:hAnsi="Arial" w:cs="Arial"/>
                <w:b/>
                <w:sz w:val="14"/>
                <w:szCs w:val="16"/>
                <w:lang w:val="fr-CA"/>
              </w:rPr>
              <w:t>Sans objet</w:t>
            </w:r>
          </w:p>
        </w:tc>
        <w:tc>
          <w:tcPr>
            <w:tcW w:w="8910" w:type="dxa"/>
          </w:tcPr>
          <w:p w14:paraId="25242E81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ascii="Arial" w:hAnsi="Arial" w:cs="Arial"/>
                <w:b/>
                <w:sz w:val="20"/>
                <w:szCs w:val="16"/>
                <w:lang w:val="fr-CA"/>
              </w:rPr>
              <w:t>Disposition et question</w:t>
            </w:r>
          </w:p>
        </w:tc>
      </w:tr>
      <w:tr w:rsidR="001368D4" w:rsidRPr="00461032" w14:paraId="4F9E016D" w14:textId="77777777" w:rsidTr="0051512B">
        <w:trPr>
          <w:cantSplit/>
          <w:trHeight w:val="432"/>
        </w:trPr>
        <w:tc>
          <w:tcPr>
            <w:tcW w:w="578" w:type="dxa"/>
            <w:vAlign w:val="center"/>
          </w:tcPr>
          <w:p w14:paraId="6D24A968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3283EB1A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9DF02B7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4B77D7C8" w14:textId="77777777" w:rsidR="0003063F" w:rsidRPr="001368D4" w:rsidRDefault="0003063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4(2)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Le document d’information a-t-il été désigné : a) une estimation des coûts, b) un énoncé des coûts maximaux, ou c) une déclaration qu’une estimation des incidences financières de l’engagement électoral n’a pas été établie?</w:t>
            </w:r>
          </w:p>
        </w:tc>
      </w:tr>
      <w:tr w:rsidR="001368D4" w:rsidRPr="00461032" w14:paraId="60D40695" w14:textId="77777777" w:rsidTr="0051512B">
        <w:trPr>
          <w:cantSplit/>
          <w:trHeight w:val="432"/>
        </w:trPr>
        <w:tc>
          <w:tcPr>
            <w:tcW w:w="578" w:type="dxa"/>
            <w:vAlign w:val="center"/>
          </w:tcPr>
          <w:p w14:paraId="7BA99068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3315CF82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6C66D17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6553F467" w14:textId="77777777" w:rsidR="0003063F" w:rsidRPr="001368D4" w:rsidRDefault="0003063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4(4)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L’une des trois explications possibles de refus de préparation d’une estimation des implications financières de l’engagement électoral a-t-elle été indiquée?</w:t>
            </w:r>
          </w:p>
        </w:tc>
      </w:tr>
      <w:tr w:rsidR="001368D4" w:rsidRPr="00461032" w14:paraId="3FAB697C" w14:textId="77777777" w:rsidTr="0051512B">
        <w:trPr>
          <w:cantSplit/>
          <w:trHeight w:val="467"/>
        </w:trPr>
        <w:tc>
          <w:tcPr>
            <w:tcW w:w="578" w:type="dxa"/>
            <w:vAlign w:val="center"/>
          </w:tcPr>
          <w:p w14:paraId="410D62F0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39995EBD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BD4526D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2B6AEA4E" w14:textId="77777777" w:rsidR="0003063F" w:rsidRPr="001368D4" w:rsidRDefault="0003063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4(3)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Si un énoncé des coûts maximaux est établi et l’engagement électoral indique qu’il augmentera ou réduira les recettes, le document d’information complémentaire requis a-t-il été déposé?</w:t>
            </w:r>
          </w:p>
        </w:tc>
      </w:tr>
      <w:tr w:rsidR="001368D4" w:rsidRPr="00461032" w14:paraId="0CC3A4DB" w14:textId="77777777" w:rsidTr="0051512B">
        <w:trPr>
          <w:cantSplit/>
          <w:trHeight w:val="449"/>
        </w:trPr>
        <w:tc>
          <w:tcPr>
            <w:tcW w:w="578" w:type="dxa"/>
            <w:tcBorders>
              <w:bottom w:val="nil"/>
            </w:tcBorders>
          </w:tcPr>
          <w:p w14:paraId="2DFA87E6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14:paraId="7F3C51D3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481C1299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8910" w:type="dxa"/>
            <w:tcBorders>
              <w:bottom w:val="nil"/>
            </w:tcBorders>
            <w:vAlign w:val="center"/>
          </w:tcPr>
          <w:p w14:paraId="780256AA" w14:textId="77777777" w:rsidR="0003063F" w:rsidRPr="001368D4" w:rsidRDefault="0003063F" w:rsidP="00C662FA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5(4)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S’agissant de l’engagement électoral qui aura une incidence financière sur le budget de fonctionnement </w:t>
            </w:r>
            <w:r w:rsidR="00C662FA">
              <w:rPr>
                <w:rFonts w:cs="Arial"/>
                <w:sz w:val="18"/>
                <w:szCs w:val="16"/>
                <w:lang w:val="fr-CA"/>
              </w:rPr>
              <w:t>de la province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en tant que partie du budget principal des dépenses, l’estimation des coûts ou l’énoncé des coûts maximaux indiquent-ils l’incidence financière prévue pour l’exercice au cours duquel l’engagement est pris et pour chacun des quatre exercices qui suivront, pour :</w:t>
            </w:r>
          </w:p>
        </w:tc>
      </w:tr>
      <w:tr w:rsidR="001368D4" w:rsidRPr="001368D4" w14:paraId="4AFD469B" w14:textId="77777777" w:rsidTr="0051512B">
        <w:trPr>
          <w:cantSplit/>
          <w:trHeight w:val="243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48982B04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10B720E8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5C761FB3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3AAAF171" w14:textId="77777777" w:rsidR="0003063F" w:rsidRPr="001368D4" w:rsidRDefault="0003063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les recettes?</w:t>
            </w:r>
          </w:p>
        </w:tc>
      </w:tr>
      <w:tr w:rsidR="001368D4" w:rsidRPr="001368D4" w14:paraId="56B9020F" w14:textId="77777777" w:rsidTr="0051512B">
        <w:trPr>
          <w:cantSplit/>
          <w:trHeight w:val="270"/>
        </w:trPr>
        <w:tc>
          <w:tcPr>
            <w:tcW w:w="578" w:type="dxa"/>
            <w:tcBorders>
              <w:top w:val="nil"/>
            </w:tcBorders>
            <w:vAlign w:val="center"/>
          </w:tcPr>
          <w:p w14:paraId="718A77E1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</w:tcBorders>
            <w:vAlign w:val="center"/>
          </w:tcPr>
          <w:p w14:paraId="6825EF31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12561FC4" w14:textId="77777777" w:rsidR="0003063F" w:rsidRPr="001368D4" w:rsidRDefault="00DF74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</w:tcBorders>
            <w:vAlign w:val="center"/>
          </w:tcPr>
          <w:p w14:paraId="0D0D6A70" w14:textId="77777777" w:rsidR="0003063F" w:rsidRPr="001368D4" w:rsidRDefault="0003063F" w:rsidP="00C662F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les </w:t>
            </w:r>
            <w:r w:rsidR="00C662FA">
              <w:rPr>
                <w:rFonts w:cs="Arial"/>
                <w:sz w:val="18"/>
                <w:szCs w:val="16"/>
                <w:lang w:val="fr-CA"/>
              </w:rPr>
              <w:t>charges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>?</w:t>
            </w:r>
          </w:p>
        </w:tc>
      </w:tr>
      <w:tr w:rsidR="001368D4" w:rsidRPr="00461032" w14:paraId="2097B106" w14:textId="77777777" w:rsidTr="0051512B">
        <w:trPr>
          <w:cantSplit/>
          <w:trHeight w:val="476"/>
        </w:trPr>
        <w:tc>
          <w:tcPr>
            <w:tcW w:w="578" w:type="dxa"/>
            <w:tcBorders>
              <w:bottom w:val="nil"/>
            </w:tcBorders>
          </w:tcPr>
          <w:p w14:paraId="1290DC35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14:paraId="5A5CA02A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2E794CF7" w14:textId="77777777" w:rsidR="0003063F" w:rsidRPr="001368D4" w:rsidRDefault="0003063F">
            <w:pPr>
              <w:pStyle w:val="ListParagraph"/>
              <w:ind w:left="0"/>
              <w:rPr>
                <w:rFonts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8910" w:type="dxa"/>
            <w:tcBorders>
              <w:bottom w:val="nil"/>
            </w:tcBorders>
            <w:vAlign w:val="center"/>
          </w:tcPr>
          <w:p w14:paraId="7E8A742C" w14:textId="77777777" w:rsidR="0003063F" w:rsidRPr="001368D4" w:rsidRDefault="0003063F" w:rsidP="00C662FA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 xml:space="preserve">Paragraphe 5(5) : 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S’agissant de l’engagement électoral qui aura une incidence financière sur le budget d’investissement </w:t>
            </w:r>
            <w:r w:rsidR="00C662FA">
              <w:rPr>
                <w:rFonts w:cs="Arial"/>
                <w:sz w:val="18"/>
                <w:szCs w:val="16"/>
                <w:lang w:val="fr-CA"/>
              </w:rPr>
              <w:t>de la province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en tant que partie du budget de capital, l’estimation des coûts comporte-t-elle : </w:t>
            </w:r>
            <w:bookmarkStart w:id="0" w:name="anchorse:5-ss:5-p1:a"/>
            <w:bookmarkStart w:id="1" w:name="anchorse:5-ss:5-p1:b"/>
            <w:bookmarkStart w:id="2" w:name="Pd207770510e425"/>
            <w:bookmarkStart w:id="3" w:name="Pd207770510e430"/>
            <w:bookmarkEnd w:id="0"/>
            <w:bookmarkEnd w:id="1"/>
            <w:bookmarkEnd w:id="2"/>
            <w:bookmarkEnd w:id="3"/>
          </w:p>
        </w:tc>
      </w:tr>
      <w:tr w:rsidR="001368D4" w:rsidRPr="00461032" w14:paraId="56F1FEE7" w14:textId="77777777" w:rsidTr="0051512B">
        <w:trPr>
          <w:cantSplit/>
          <w:trHeight w:val="360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766F0287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1BC0DC99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50DB8E42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11ED480E" w14:textId="77777777" w:rsidR="0003063F" w:rsidRPr="001368D4" w:rsidRDefault="0003063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l’estimation de l’intégralité des dépenses en capital associées à l’engagement électoral?</w:t>
            </w:r>
          </w:p>
        </w:tc>
      </w:tr>
      <w:tr w:rsidR="001368D4" w:rsidRPr="00461032" w14:paraId="5BFAEF25" w14:textId="77777777" w:rsidTr="0051512B">
        <w:trPr>
          <w:cantSplit/>
          <w:trHeight w:val="431"/>
        </w:trPr>
        <w:tc>
          <w:tcPr>
            <w:tcW w:w="578" w:type="dxa"/>
            <w:tcBorders>
              <w:top w:val="nil"/>
            </w:tcBorders>
            <w:vAlign w:val="center"/>
          </w:tcPr>
          <w:p w14:paraId="1CCCB824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</w:tcBorders>
            <w:vAlign w:val="center"/>
          </w:tcPr>
          <w:p w14:paraId="74C0F6D8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29CABE65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</w:tcBorders>
            <w:vAlign w:val="center"/>
          </w:tcPr>
          <w:p w14:paraId="61F70154" w14:textId="77777777" w:rsidR="0003063F" w:rsidRPr="001368D4" w:rsidRDefault="0003063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l’estimation des dépenses en capital associées à l’exercice au cours duquel l’engagement est pris et pour chacun des quatre exercices qui suivront?</w:t>
            </w:r>
          </w:p>
        </w:tc>
      </w:tr>
      <w:tr w:rsidR="001368D4" w:rsidRPr="00461032" w14:paraId="6E5FA4EC" w14:textId="77777777" w:rsidTr="0051512B">
        <w:trPr>
          <w:cantSplit/>
          <w:trHeight w:val="539"/>
        </w:trPr>
        <w:tc>
          <w:tcPr>
            <w:tcW w:w="578" w:type="dxa"/>
            <w:tcBorders>
              <w:bottom w:val="nil"/>
            </w:tcBorders>
          </w:tcPr>
          <w:p w14:paraId="44B55368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14:paraId="7B4D8502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16"/>
                <w:lang w:val="fr-C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14:paraId="67F4A1D3" w14:textId="77777777" w:rsidR="0003063F" w:rsidRPr="001368D4" w:rsidRDefault="0003063F">
            <w:pPr>
              <w:pStyle w:val="ListParagraph"/>
              <w:ind w:left="0"/>
              <w:rPr>
                <w:rFonts w:cs="Arial"/>
                <w:b/>
                <w:sz w:val="16"/>
                <w:szCs w:val="16"/>
                <w:lang w:val="fr-CA"/>
              </w:rPr>
            </w:pPr>
          </w:p>
        </w:tc>
        <w:tc>
          <w:tcPr>
            <w:tcW w:w="8910" w:type="dxa"/>
            <w:tcBorders>
              <w:bottom w:val="nil"/>
            </w:tcBorders>
            <w:vAlign w:val="center"/>
          </w:tcPr>
          <w:p w14:paraId="2EF0FE7C" w14:textId="77777777" w:rsidR="0003063F" w:rsidRPr="001368D4" w:rsidRDefault="0003063F" w:rsidP="00C662FA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 xml:space="preserve">Paragraphe 5(6) : 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S’agissant de l’engagement électoral qui aura une incidence financière sur le budget d’investissement </w:t>
            </w:r>
            <w:r w:rsidR="00C662FA">
              <w:rPr>
                <w:rFonts w:cs="Arial"/>
                <w:sz w:val="18"/>
                <w:szCs w:val="16"/>
                <w:lang w:val="fr-CA"/>
              </w:rPr>
              <w:t>de la province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en tant que partie du budget de capital, l’énoncé des coûts maximaux comporte-t-il :</w:t>
            </w:r>
          </w:p>
        </w:tc>
      </w:tr>
      <w:tr w:rsidR="001368D4" w:rsidRPr="00461032" w14:paraId="304DC44A" w14:textId="77777777" w:rsidTr="0051512B">
        <w:trPr>
          <w:cantSplit/>
          <w:trHeight w:val="431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6646F5AE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4B4C0F78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3FFA40B7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7E918950" w14:textId="77777777" w:rsidR="0003063F" w:rsidRPr="001368D4" w:rsidRDefault="0003063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le montant maximal de l’intégralité des dépenses en capital associées à l’engagement électoral?</w:t>
            </w:r>
          </w:p>
        </w:tc>
      </w:tr>
      <w:tr w:rsidR="001368D4" w:rsidRPr="00461032" w14:paraId="2E457B2C" w14:textId="77777777" w:rsidTr="0051512B">
        <w:trPr>
          <w:cantSplit/>
          <w:trHeight w:val="431"/>
        </w:trPr>
        <w:tc>
          <w:tcPr>
            <w:tcW w:w="578" w:type="dxa"/>
            <w:tcBorders>
              <w:top w:val="nil"/>
            </w:tcBorders>
            <w:vAlign w:val="center"/>
          </w:tcPr>
          <w:p w14:paraId="32701909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</w:tcBorders>
            <w:vAlign w:val="center"/>
          </w:tcPr>
          <w:p w14:paraId="117D330F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0B1C7030" w14:textId="77777777" w:rsidR="0003063F" w:rsidRPr="001368D4" w:rsidRDefault="0019191A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</w:tcBorders>
            <w:vAlign w:val="center"/>
          </w:tcPr>
          <w:p w14:paraId="5D089B95" w14:textId="77777777" w:rsidR="0003063F" w:rsidRPr="001368D4" w:rsidRDefault="0003063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le montant maximal des dépenses en capital associées à l’exercice au cours duquel l’engagement est pris et pour chacun des quatre exercices qui suivront?</w:t>
            </w:r>
          </w:p>
        </w:tc>
      </w:tr>
      <w:tr w:rsidR="001368D4" w:rsidRPr="00461032" w14:paraId="5A7080D8" w14:textId="77777777" w:rsidTr="0051512B">
        <w:trPr>
          <w:cantSplit/>
          <w:trHeight w:val="431"/>
        </w:trPr>
        <w:tc>
          <w:tcPr>
            <w:tcW w:w="578" w:type="dxa"/>
            <w:vAlign w:val="center"/>
          </w:tcPr>
          <w:p w14:paraId="3A930ADF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3614D638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86AE794" w14:textId="77777777" w:rsidR="0003063F" w:rsidRPr="001368D4" w:rsidRDefault="00E20DC4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1842EC50" w14:textId="77777777" w:rsidR="0003063F" w:rsidRPr="001368D4" w:rsidRDefault="0003063F" w:rsidP="00152E0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5(1)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Les estimations des incidences financières pour les budgets de fonctionnement et d</w:t>
            </w:r>
            <w:r w:rsidR="00152E0F">
              <w:rPr>
                <w:rFonts w:cs="Arial"/>
                <w:sz w:val="18"/>
                <w:szCs w:val="16"/>
                <w:lang w:val="fr-CA"/>
              </w:rPr>
              <w:t>’investissement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examinées ci-dessus font-elles partie du </w:t>
            </w:r>
            <w:r w:rsidRPr="001368D4">
              <w:rPr>
                <w:rFonts w:cs="Arial"/>
                <w:i/>
                <w:sz w:val="18"/>
                <w:szCs w:val="16"/>
                <w:lang w:val="fr-CA"/>
              </w:rPr>
              <w:t>Résumé des engagements électoraux</w:t>
            </w:r>
            <w:r w:rsidR="00152E0F">
              <w:rPr>
                <w:rFonts w:cs="Arial"/>
                <w:sz w:val="18"/>
                <w:szCs w:val="16"/>
                <w:lang w:val="fr-CA"/>
              </w:rPr>
              <w:t xml:space="preserve"> déposé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avec le présent document d’information?</w:t>
            </w:r>
          </w:p>
        </w:tc>
      </w:tr>
      <w:tr w:rsidR="001368D4" w:rsidRPr="00461032" w14:paraId="1B329C69" w14:textId="77777777" w:rsidTr="0051512B">
        <w:trPr>
          <w:cantSplit/>
          <w:trHeight w:val="431"/>
        </w:trPr>
        <w:tc>
          <w:tcPr>
            <w:tcW w:w="578" w:type="dxa"/>
            <w:tcBorders>
              <w:bottom w:val="nil"/>
            </w:tcBorders>
            <w:vAlign w:val="center"/>
          </w:tcPr>
          <w:p w14:paraId="290BB8C2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lang w:val="fr-CA"/>
              </w:rPr>
            </w:pPr>
          </w:p>
        </w:tc>
        <w:tc>
          <w:tcPr>
            <w:tcW w:w="610" w:type="dxa"/>
            <w:tcBorders>
              <w:bottom w:val="nil"/>
            </w:tcBorders>
            <w:vAlign w:val="center"/>
          </w:tcPr>
          <w:p w14:paraId="41BBBF98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lang w:val="fr-CA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5AB2113E" w14:textId="77777777" w:rsidR="0003063F" w:rsidRPr="001368D4" w:rsidRDefault="0003063F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lang w:val="fr-CA"/>
              </w:rPr>
            </w:pPr>
          </w:p>
        </w:tc>
        <w:tc>
          <w:tcPr>
            <w:tcW w:w="8910" w:type="dxa"/>
            <w:tcBorders>
              <w:bottom w:val="nil"/>
            </w:tcBorders>
            <w:vAlign w:val="center"/>
          </w:tcPr>
          <w:p w14:paraId="7C4C6E5B" w14:textId="77777777" w:rsidR="0003063F" w:rsidRPr="001368D4" w:rsidRDefault="0003063F" w:rsidP="00152E0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Règlement, paragraphe 3(1)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Le document d’information qui fait office d’estimation des coûts ou d’</w:t>
            </w:r>
            <w:r w:rsidR="00152E0F">
              <w:rPr>
                <w:rFonts w:cs="Arial"/>
                <w:sz w:val="18"/>
                <w:szCs w:val="16"/>
                <w:lang w:val="fr-CA"/>
              </w:rPr>
              <w:t>énoncé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des coûts maximaux comprend-il l’information suivante :</w:t>
            </w:r>
          </w:p>
        </w:tc>
      </w:tr>
      <w:tr w:rsidR="001368D4" w:rsidRPr="00461032" w14:paraId="49B2DD79" w14:textId="77777777" w:rsidTr="0051512B">
        <w:trPr>
          <w:cantSplit/>
          <w:trHeight w:val="360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7FA72BA7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4B4298C2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54EB2451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5BDD0919" w14:textId="77777777" w:rsidR="0003063F" w:rsidRPr="001368D4" w:rsidRDefault="0003063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la description de l’engagement électoral?</w:t>
            </w:r>
          </w:p>
        </w:tc>
      </w:tr>
      <w:tr w:rsidR="001368D4" w:rsidRPr="00461032" w14:paraId="713590F0" w14:textId="77777777" w:rsidTr="0051512B">
        <w:trPr>
          <w:cantSplit/>
          <w:trHeight w:val="360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6DE7392E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5A898BD3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69C61011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6E634406" w14:textId="77777777" w:rsidR="0003063F" w:rsidRPr="001368D4" w:rsidRDefault="0003063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chaque hypothèse importante formulée en vue de déterminer l’estimation des coûts ou l’énoncé </w:t>
            </w:r>
            <w:r w:rsidR="00152E0F">
              <w:rPr>
                <w:rFonts w:cs="Arial"/>
                <w:sz w:val="18"/>
                <w:szCs w:val="16"/>
                <w:lang w:val="fr-CA"/>
              </w:rPr>
              <w:t>des coûts maximaux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>?</w:t>
            </w:r>
          </w:p>
        </w:tc>
      </w:tr>
      <w:tr w:rsidR="001368D4" w:rsidRPr="00461032" w14:paraId="41901317" w14:textId="77777777" w:rsidTr="0051512B">
        <w:trPr>
          <w:cantSplit/>
          <w:trHeight w:val="360"/>
        </w:trPr>
        <w:tc>
          <w:tcPr>
            <w:tcW w:w="578" w:type="dxa"/>
            <w:tcBorders>
              <w:top w:val="nil"/>
              <w:bottom w:val="nil"/>
            </w:tcBorders>
            <w:vAlign w:val="center"/>
          </w:tcPr>
          <w:p w14:paraId="2F0643A5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1E5DDF8B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12559FBB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</w:tcBorders>
            <w:vAlign w:val="center"/>
          </w:tcPr>
          <w:p w14:paraId="79DD804D" w14:textId="77777777" w:rsidR="0003063F" w:rsidRPr="001368D4" w:rsidRDefault="0003063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>les sources des renseignements ayant servi à l’estimation des coûts ou à l’énoncé des coût</w:t>
            </w:r>
            <w:r w:rsidR="00152E0F">
              <w:rPr>
                <w:rFonts w:cs="Arial"/>
                <w:sz w:val="18"/>
                <w:szCs w:val="16"/>
                <w:lang w:val="fr-CA"/>
              </w:rPr>
              <w:t>s maximaux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>?</w:t>
            </w:r>
          </w:p>
        </w:tc>
      </w:tr>
      <w:tr w:rsidR="001368D4" w:rsidRPr="00461032" w14:paraId="638F3544" w14:textId="77777777" w:rsidTr="0051512B">
        <w:trPr>
          <w:cantSplit/>
          <w:trHeight w:val="360"/>
        </w:trPr>
        <w:tc>
          <w:tcPr>
            <w:tcW w:w="578" w:type="dxa"/>
            <w:tcBorders>
              <w:top w:val="nil"/>
            </w:tcBorders>
            <w:vAlign w:val="center"/>
          </w:tcPr>
          <w:p w14:paraId="4F3942C7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tcBorders>
              <w:top w:val="nil"/>
            </w:tcBorders>
            <w:vAlign w:val="center"/>
          </w:tcPr>
          <w:p w14:paraId="62C3BBEF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0A0DB265" w14:textId="77777777" w:rsidR="0003063F" w:rsidRPr="001368D4" w:rsidRDefault="00704000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tcBorders>
              <w:top w:val="nil"/>
            </w:tcBorders>
            <w:vAlign w:val="center"/>
          </w:tcPr>
          <w:p w14:paraId="4A8175C0" w14:textId="77777777" w:rsidR="0003063F" w:rsidRPr="001368D4" w:rsidRDefault="0003063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les calculs exécutés pour procéder à l’estimation des coûts ou à l’énoncé </w:t>
            </w:r>
            <w:r w:rsidR="00152E0F">
              <w:rPr>
                <w:rFonts w:cs="Arial"/>
                <w:sz w:val="18"/>
                <w:szCs w:val="16"/>
                <w:lang w:val="fr-CA"/>
              </w:rPr>
              <w:t>des coûts maximaux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>?</w:t>
            </w:r>
          </w:p>
        </w:tc>
      </w:tr>
      <w:tr w:rsidR="001368D4" w:rsidRPr="00461032" w14:paraId="30AE26FA" w14:textId="77777777" w:rsidTr="0051512B">
        <w:trPr>
          <w:cantSplit/>
          <w:trHeight w:val="431"/>
        </w:trPr>
        <w:tc>
          <w:tcPr>
            <w:tcW w:w="578" w:type="dxa"/>
            <w:vAlign w:val="center"/>
          </w:tcPr>
          <w:p w14:paraId="07FB6ED6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lastRenderedPageBreak/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53D7C841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82A4E84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2A12DCD2" w14:textId="77777777" w:rsidR="0003063F" w:rsidRPr="001368D4" w:rsidRDefault="0003063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Paragraphe 4(1)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Le parti politique a-t-il déclaré qu’il a publié le document d’information, c.-à-d. qu’il a été rendu public à l’aide des médias, notamment par communiqué de presse, affichage sur un site Web ou tout autre moyen médiatique d’information publique?</w:t>
            </w:r>
          </w:p>
        </w:tc>
      </w:tr>
      <w:tr w:rsidR="001368D4" w:rsidRPr="00461032" w14:paraId="1C4AF378" w14:textId="77777777" w:rsidTr="0051512B">
        <w:trPr>
          <w:cantSplit/>
          <w:trHeight w:val="431"/>
        </w:trPr>
        <w:tc>
          <w:tcPr>
            <w:tcW w:w="578" w:type="dxa"/>
            <w:vAlign w:val="center"/>
          </w:tcPr>
          <w:p w14:paraId="241A11A0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10" w:type="dxa"/>
            <w:vAlign w:val="center"/>
          </w:tcPr>
          <w:p w14:paraId="1722E192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0346B97" w14:textId="77777777" w:rsidR="0003063F" w:rsidRPr="001368D4" w:rsidRDefault="00A433B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en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910" w:type="dxa"/>
            <w:vAlign w:val="center"/>
          </w:tcPr>
          <w:p w14:paraId="6610599E" w14:textId="77777777" w:rsidR="0003063F" w:rsidRPr="001368D4" w:rsidRDefault="0003063F">
            <w:pPr>
              <w:pStyle w:val="ListParagraph"/>
              <w:spacing w:after="0"/>
              <w:ind w:left="0"/>
              <w:rPr>
                <w:rFonts w:cs="Arial"/>
                <w:b/>
                <w:sz w:val="18"/>
                <w:szCs w:val="16"/>
                <w:lang w:val="fr-CA"/>
              </w:rPr>
            </w:pPr>
            <w:r w:rsidRPr="001368D4">
              <w:rPr>
                <w:rFonts w:cs="Arial"/>
                <w:b/>
                <w:sz w:val="18"/>
                <w:szCs w:val="16"/>
                <w:lang w:val="fr-CA"/>
              </w:rPr>
              <w:t>Règlement, paragraphe 3(2) :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 xml:space="preserve"> Le document d’information a-t-il été signé par le représentant officiel du parti politique enregistré ou par l’agent principal qu’il désigne en vertu du paragraphe 4(5) de la </w:t>
            </w:r>
            <w:r w:rsidRPr="001368D4">
              <w:rPr>
                <w:rFonts w:cs="Arial"/>
                <w:i/>
                <w:sz w:val="18"/>
                <w:szCs w:val="16"/>
                <w:lang w:val="fr-CA"/>
              </w:rPr>
              <w:t>Loi</w:t>
            </w:r>
            <w:r w:rsidRPr="001368D4">
              <w:rPr>
                <w:rFonts w:cs="Arial"/>
                <w:sz w:val="18"/>
                <w:szCs w:val="16"/>
                <w:lang w:val="fr-CA"/>
              </w:rPr>
              <w:t>, le cas échéant?</w:t>
            </w:r>
          </w:p>
        </w:tc>
      </w:tr>
    </w:tbl>
    <w:p w14:paraId="026AF9BF" w14:textId="77777777" w:rsidR="00152E0F" w:rsidRPr="00700709" w:rsidRDefault="00152E0F">
      <w:pPr>
        <w:rPr>
          <w:lang w:val="fr-C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8"/>
      </w:tblGrid>
      <w:tr w:rsidR="001368D4" w:rsidRPr="00461032" w14:paraId="40634FA7" w14:textId="77777777" w:rsidTr="0051512B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5CFBBBDF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 xml:space="preserve">Partie C : Décision du </w:t>
            </w:r>
            <w:r w:rsidR="00B612CA" w:rsidRPr="001368D4">
              <w:rPr>
                <w:rFonts w:cs="Arial"/>
                <w:b/>
                <w:lang w:val="fr-CA"/>
              </w:rPr>
              <w:t>c</w:t>
            </w:r>
            <w:r w:rsidRPr="001368D4">
              <w:rPr>
                <w:rFonts w:cs="Arial"/>
                <w:b/>
                <w:lang w:val="fr-CA"/>
              </w:rPr>
              <w:t>ontrôleur</w:t>
            </w:r>
          </w:p>
        </w:tc>
      </w:tr>
      <w:tr w:rsidR="001368D4" w:rsidRPr="00461032" w14:paraId="537FDEBB" w14:textId="77777777" w:rsidTr="0051512B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3CF38AE4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662422C5" w14:textId="77777777" w:rsidR="0003063F" w:rsidRPr="001368D4" w:rsidRDefault="00B277B9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fr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  <w:r w:rsidR="000D1709" w:rsidRPr="000D1709">
              <w:rPr>
                <w:rFonts w:cs="Arial"/>
                <w:lang w:val="fr-CA"/>
              </w:rPr>
              <w:t xml:space="preserve">  </w:t>
            </w:r>
            <w:r w:rsidR="0003063F" w:rsidRPr="001368D4">
              <w:rPr>
                <w:rFonts w:cs="Arial"/>
                <w:lang w:val="fr-CA"/>
              </w:rPr>
              <w:t xml:space="preserve">Le document d’information </w:t>
            </w:r>
            <w:r w:rsidR="0003063F" w:rsidRPr="001368D4">
              <w:rPr>
                <w:rFonts w:cs="Arial"/>
                <w:u w:val="single"/>
                <w:lang w:val="fr-CA"/>
              </w:rPr>
              <w:t>se conforme</w:t>
            </w:r>
            <w:r w:rsidR="0003063F" w:rsidRPr="001368D4">
              <w:rPr>
                <w:rFonts w:cs="Arial"/>
                <w:lang w:val="fr-CA"/>
              </w:rPr>
              <w:t xml:space="preserve"> à la </w:t>
            </w:r>
            <w:r w:rsidR="0003063F" w:rsidRPr="001368D4">
              <w:rPr>
                <w:rFonts w:cs="Arial"/>
                <w:i/>
                <w:lang w:val="fr-CA"/>
              </w:rPr>
              <w:t>Loi sur la transparence des engagements électoraux</w:t>
            </w:r>
            <w:r w:rsidR="0003063F" w:rsidRPr="001368D4">
              <w:rPr>
                <w:rFonts w:cs="Arial"/>
                <w:lang w:val="fr-CA"/>
              </w:rPr>
              <w:t xml:space="preserve"> et au </w:t>
            </w:r>
            <w:r w:rsidR="0003063F" w:rsidRPr="001368D4">
              <w:rPr>
                <w:rFonts w:cs="Arial"/>
                <w:i/>
                <w:lang w:val="fr-CA"/>
              </w:rPr>
              <w:t>Règlement général.</w:t>
            </w:r>
          </w:p>
          <w:p w14:paraId="1356C685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030AA5D3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1368D4">
              <w:rPr>
                <w:rFonts w:cs="Arial"/>
                <w:szCs w:val="18"/>
                <w:lang w:val="fr-CA"/>
              </w:rPr>
              <w:t xml:space="preserve">Dans les deux jours ouvrables de la réception du document d’information, le </w:t>
            </w:r>
            <w:r w:rsidR="00B612CA" w:rsidRPr="001368D4">
              <w:rPr>
                <w:rFonts w:cs="Arial"/>
                <w:szCs w:val="18"/>
                <w:lang w:val="fr-CA"/>
              </w:rPr>
              <w:t>c</w:t>
            </w:r>
            <w:r w:rsidRPr="001368D4">
              <w:rPr>
                <w:rFonts w:cs="Arial"/>
                <w:szCs w:val="18"/>
                <w:lang w:val="fr-CA"/>
              </w:rPr>
              <w:t>ontrôleur doit :</w:t>
            </w:r>
          </w:p>
          <w:p w14:paraId="4A884A65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699AEE1E" w14:textId="77777777" w:rsidR="0003063F" w:rsidRPr="001368D4" w:rsidRDefault="0003063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r w:rsidRPr="001368D4">
              <w:rPr>
                <w:rFonts w:cs="Arial"/>
                <w:szCs w:val="18"/>
                <w:lang w:val="fr-CA"/>
              </w:rPr>
              <w:t xml:space="preserve">rédiger un certificat de conformité au format et de la façon approuvés par le </w:t>
            </w:r>
            <w:r w:rsidR="00B612CA" w:rsidRPr="001368D4">
              <w:rPr>
                <w:rFonts w:cs="Arial"/>
                <w:szCs w:val="18"/>
                <w:lang w:val="fr-CA"/>
              </w:rPr>
              <w:t>c</w:t>
            </w:r>
            <w:r w:rsidRPr="001368D4">
              <w:rPr>
                <w:rFonts w:cs="Arial"/>
                <w:szCs w:val="18"/>
                <w:lang w:val="fr-CA"/>
              </w:rPr>
              <w:t>ontrôleur;</w:t>
            </w:r>
          </w:p>
          <w:p w14:paraId="77ADD52E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</w:p>
          <w:p w14:paraId="62D82F35" w14:textId="77777777" w:rsidR="0003063F" w:rsidRPr="001368D4" w:rsidRDefault="0003063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szCs w:val="18"/>
                <w:lang w:val="fr-CA"/>
              </w:rPr>
            </w:pPr>
            <w:bookmarkStart w:id="4" w:name="anchorse:7-ss:2-p1:b"/>
            <w:bookmarkStart w:id="5" w:name="Pd208284279e521"/>
            <w:bookmarkEnd w:id="4"/>
            <w:bookmarkEnd w:id="5"/>
            <w:r w:rsidRPr="001368D4">
              <w:rPr>
                <w:rFonts w:cs="Arial"/>
                <w:szCs w:val="18"/>
                <w:lang w:val="fr-CA"/>
              </w:rPr>
              <w:t>rendre le certificat de conformité et le document d’information disponibles à un examen public en les publiant sur le site Web d’Élections Nouveau-Brunswick.</w:t>
            </w:r>
          </w:p>
          <w:p w14:paraId="1A97FADE" w14:textId="77777777" w:rsidR="0003063F" w:rsidRPr="001368D4" w:rsidRDefault="0003063F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fr-CA"/>
              </w:rPr>
            </w:pPr>
          </w:p>
        </w:tc>
      </w:tr>
      <w:tr w:rsidR="001368D4" w:rsidRPr="00461032" w14:paraId="78DEB476" w14:textId="77777777" w:rsidTr="0051512B">
        <w:trPr>
          <w:trHeight w:val="1089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6B907BBB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20E79FEF" w14:textId="77777777" w:rsidR="0003063F" w:rsidRPr="001368D4" w:rsidRDefault="00B277B9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8D4">
              <w:rPr>
                <w:rFonts w:cs="Arial"/>
                <w:lang w:val="fr-CA"/>
              </w:rPr>
              <w:instrText xml:space="preserve"> FORMCHECKBOX </w:instrText>
            </w:r>
            <w:r w:rsidR="00461032">
              <w:rPr>
                <w:rFonts w:cs="Arial"/>
                <w:lang w:val="en-CA"/>
              </w:rPr>
            </w:r>
            <w:r w:rsidR="00461032">
              <w:rPr>
                <w:rFonts w:cs="Arial"/>
                <w:lang w:val="en-CA"/>
              </w:rPr>
              <w:fldChar w:fldCharType="separate"/>
            </w:r>
            <w:r w:rsidRPr="001368D4">
              <w:rPr>
                <w:rFonts w:cs="Arial"/>
                <w:lang w:val="en-CA"/>
              </w:rPr>
              <w:fldChar w:fldCharType="end"/>
            </w:r>
            <w:r w:rsidR="000D1709" w:rsidRPr="000D1709">
              <w:rPr>
                <w:rFonts w:cs="Arial"/>
                <w:lang w:val="fr-CA"/>
              </w:rPr>
              <w:t xml:space="preserve">  </w:t>
            </w:r>
            <w:r w:rsidR="0003063F" w:rsidRPr="001368D4">
              <w:rPr>
                <w:rFonts w:cs="Arial"/>
                <w:lang w:val="fr-CA"/>
              </w:rPr>
              <w:t xml:space="preserve">Le document d’information </w:t>
            </w:r>
            <w:r w:rsidR="0003063F" w:rsidRPr="001368D4">
              <w:rPr>
                <w:rFonts w:cs="Arial"/>
                <w:u w:val="single"/>
                <w:lang w:val="fr-CA"/>
              </w:rPr>
              <w:t>ne se conforme pas</w:t>
            </w:r>
            <w:r w:rsidR="0003063F" w:rsidRPr="001368D4">
              <w:rPr>
                <w:rFonts w:cs="Arial"/>
                <w:lang w:val="fr-CA"/>
              </w:rPr>
              <w:t xml:space="preserve"> à la </w:t>
            </w:r>
            <w:r w:rsidR="0003063F" w:rsidRPr="001368D4">
              <w:rPr>
                <w:rFonts w:cs="Arial"/>
                <w:i/>
                <w:lang w:val="fr-CA"/>
              </w:rPr>
              <w:t>Loi sur la transparence des engagements électoraux</w:t>
            </w:r>
            <w:r w:rsidR="0003063F" w:rsidRPr="001368D4">
              <w:rPr>
                <w:rFonts w:cs="Arial"/>
                <w:lang w:val="fr-CA"/>
              </w:rPr>
              <w:t xml:space="preserve"> et au </w:t>
            </w:r>
            <w:r w:rsidR="0003063F" w:rsidRPr="001368D4">
              <w:rPr>
                <w:rFonts w:cs="Arial"/>
                <w:i/>
                <w:lang w:val="fr-CA"/>
              </w:rPr>
              <w:t>Règlement général.</w:t>
            </w:r>
          </w:p>
          <w:p w14:paraId="70EF55FC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  <w:p w14:paraId="28C28D4C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 xml:space="preserve">Dans les deux jours ouvrables de la réception du document d’information, le </w:t>
            </w:r>
            <w:r w:rsidR="00B612CA" w:rsidRPr="001368D4">
              <w:rPr>
                <w:rFonts w:cs="Arial"/>
                <w:lang w:val="fr-CA"/>
              </w:rPr>
              <w:t>c</w:t>
            </w:r>
            <w:r w:rsidRPr="001368D4">
              <w:rPr>
                <w:rFonts w:cs="Arial"/>
                <w:lang w:val="fr-CA"/>
              </w:rPr>
              <w:t>ontrôleur doit :</w:t>
            </w:r>
            <w:r w:rsidRPr="001368D4">
              <w:rPr>
                <w:lang w:val="fr-CA"/>
              </w:rPr>
              <w:t xml:space="preserve"> </w:t>
            </w:r>
          </w:p>
          <w:p w14:paraId="4AB3740D" w14:textId="77777777" w:rsidR="0003063F" w:rsidRPr="001368D4" w:rsidRDefault="0003063F">
            <w:pPr>
              <w:autoSpaceDE w:val="0"/>
              <w:autoSpaceDN w:val="0"/>
              <w:adjustRightInd w:val="0"/>
              <w:rPr>
                <w:lang w:val="fr-CA"/>
              </w:rPr>
            </w:pPr>
          </w:p>
          <w:p w14:paraId="6177EF96" w14:textId="77777777" w:rsidR="0003063F" w:rsidRPr="001368D4" w:rsidRDefault="0003063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fournir un avis au représentant officiel qui a déposé le document d’information;</w:t>
            </w:r>
          </w:p>
          <w:p w14:paraId="512F37AA" w14:textId="77777777" w:rsidR="0003063F" w:rsidRPr="001368D4" w:rsidRDefault="0003063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l’avis doit indiquer au parti de corriger tout document non conforme;</w:t>
            </w:r>
          </w:p>
          <w:p w14:paraId="1B775D5C" w14:textId="77777777" w:rsidR="0003063F" w:rsidRPr="001368D4" w:rsidRDefault="0003063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le parti doit déposer un nouveau document d’information dans les 24 heures.</w:t>
            </w:r>
          </w:p>
          <w:p w14:paraId="4D455BC7" w14:textId="77777777" w:rsidR="0003063F" w:rsidRPr="001368D4" w:rsidRDefault="0003063F">
            <w:pPr>
              <w:autoSpaceDE w:val="0"/>
              <w:autoSpaceDN w:val="0"/>
              <w:adjustRightInd w:val="0"/>
              <w:rPr>
                <w:rFonts w:cs="Arial"/>
                <w:lang w:val="fr-CA"/>
              </w:rPr>
            </w:pPr>
          </w:p>
        </w:tc>
      </w:tr>
    </w:tbl>
    <w:p w14:paraId="12BE0489" w14:textId="77777777" w:rsidR="0003063F" w:rsidRPr="001368D4" w:rsidRDefault="0003063F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1368D4" w:rsidRPr="001368D4" w14:paraId="643A7116" w14:textId="77777777">
        <w:tc>
          <w:tcPr>
            <w:tcW w:w="10728" w:type="dxa"/>
            <w:gridSpan w:val="2"/>
          </w:tcPr>
          <w:p w14:paraId="1EC0C461" w14:textId="77777777" w:rsidR="0003063F" w:rsidRPr="001368D4" w:rsidRDefault="0003063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1368D4">
              <w:rPr>
                <w:rFonts w:cs="Arial"/>
                <w:b/>
                <w:lang w:val="fr-CA"/>
              </w:rPr>
              <w:t>Partie D : Signatures</w:t>
            </w:r>
          </w:p>
        </w:tc>
      </w:tr>
      <w:tr w:rsidR="001368D4" w:rsidRPr="001368D4" w14:paraId="32E82A05" w14:textId="77777777">
        <w:trPr>
          <w:trHeight w:val="881"/>
        </w:trPr>
        <w:tc>
          <w:tcPr>
            <w:tcW w:w="6138" w:type="dxa"/>
          </w:tcPr>
          <w:p w14:paraId="31114D82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1368D4">
              <w:rPr>
                <w:rFonts w:cs="Arial"/>
                <w:lang w:val="fr-CA"/>
              </w:rPr>
              <w:t>Examinateur</w:t>
            </w:r>
          </w:p>
        </w:tc>
        <w:tc>
          <w:tcPr>
            <w:tcW w:w="4590" w:type="dxa"/>
          </w:tcPr>
          <w:p w14:paraId="7FD73902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Date</w:t>
            </w:r>
          </w:p>
          <w:p w14:paraId="7EB2F82F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b/>
                <w:sz w:val="18"/>
                <w:lang w:val="fr-CA"/>
              </w:rPr>
            </w:pPr>
          </w:p>
        </w:tc>
      </w:tr>
      <w:tr w:rsidR="0003063F" w:rsidRPr="001368D4" w14:paraId="74031EAE" w14:textId="77777777">
        <w:tc>
          <w:tcPr>
            <w:tcW w:w="6138" w:type="dxa"/>
          </w:tcPr>
          <w:p w14:paraId="0FA0E0E7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Contrôleur du financement politique</w:t>
            </w:r>
          </w:p>
          <w:p w14:paraId="29E0C4A7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2EE50021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2242B414" w14:textId="77777777" w:rsidR="0003063F" w:rsidRPr="001368D4" w:rsidRDefault="0003063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1368D4">
              <w:rPr>
                <w:rFonts w:cs="Arial"/>
                <w:lang w:val="fr-CA"/>
              </w:rPr>
              <w:t>Date</w:t>
            </w:r>
          </w:p>
        </w:tc>
      </w:tr>
    </w:tbl>
    <w:p w14:paraId="36BCFAFD" w14:textId="77777777" w:rsidR="0003063F" w:rsidRPr="001368D4" w:rsidRDefault="0003063F">
      <w:pPr>
        <w:outlineLvl w:val="0"/>
        <w:rPr>
          <w:rFonts w:cs="Arial"/>
          <w:lang w:val="fr-CA"/>
        </w:rPr>
      </w:pPr>
    </w:p>
    <w:sectPr w:rsidR="0003063F" w:rsidRPr="001368D4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887C" w14:textId="77777777" w:rsidR="00240C05" w:rsidRDefault="00240C05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6E90D36A" w14:textId="77777777" w:rsidR="00240C05" w:rsidRDefault="00240C05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097B" w14:textId="77777777" w:rsidR="0003063F" w:rsidRPr="00C1417F" w:rsidRDefault="0003063F">
    <w:pPr>
      <w:pStyle w:val="Footer"/>
      <w:jc w:val="right"/>
      <w:rPr>
        <w:lang w:val="fr-CA"/>
      </w:rPr>
    </w:pPr>
    <w:r w:rsidRPr="00C1417F">
      <w:rPr>
        <w:lang w:val="fr-CA"/>
      </w:rPr>
      <w:t xml:space="preserve">Page </w:t>
    </w:r>
    <w:r w:rsidR="00B277B9" w:rsidRPr="00C1417F">
      <w:rPr>
        <w:lang w:val="fr-CA"/>
      </w:rPr>
      <w:fldChar w:fldCharType="begin"/>
    </w:r>
    <w:r w:rsidR="00B277B9" w:rsidRPr="00C1417F">
      <w:rPr>
        <w:lang w:val="fr-CA"/>
      </w:rPr>
      <w:instrText xml:space="preserve"> PAGE   \* MERGEFORMAT </w:instrText>
    </w:r>
    <w:r w:rsidR="00B277B9" w:rsidRPr="00C1417F">
      <w:rPr>
        <w:lang w:val="fr-CA"/>
      </w:rPr>
      <w:fldChar w:fldCharType="separate"/>
    </w:r>
    <w:r w:rsidR="00E42DCE">
      <w:rPr>
        <w:noProof/>
        <w:lang w:val="fr-CA"/>
      </w:rPr>
      <w:t>1</w:t>
    </w:r>
    <w:r w:rsidR="00B277B9" w:rsidRPr="00C1417F">
      <w:rPr>
        <w:lang w:val="fr-CA"/>
      </w:rPr>
      <w:fldChar w:fldCharType="end"/>
    </w:r>
    <w:r w:rsidRPr="00C1417F">
      <w:rPr>
        <w:lang w:val="fr-CA"/>
      </w:rPr>
      <w:t>/</w:t>
    </w:r>
    <w:r w:rsidR="00B277B9" w:rsidRPr="00C1417F">
      <w:rPr>
        <w:noProof/>
        <w:lang w:val="fr-CA"/>
      </w:rPr>
      <w:fldChar w:fldCharType="begin"/>
    </w:r>
    <w:r w:rsidR="00B277B9" w:rsidRPr="00C1417F">
      <w:rPr>
        <w:noProof/>
        <w:lang w:val="fr-CA"/>
      </w:rPr>
      <w:instrText xml:space="preserve"> NUMPAGES   \* MERGEFORMAT </w:instrText>
    </w:r>
    <w:r w:rsidR="00B277B9" w:rsidRPr="00C1417F">
      <w:rPr>
        <w:noProof/>
        <w:lang w:val="fr-CA"/>
      </w:rPr>
      <w:fldChar w:fldCharType="separate"/>
    </w:r>
    <w:r w:rsidR="00E42DCE">
      <w:rPr>
        <w:noProof/>
        <w:lang w:val="fr-CA"/>
      </w:rPr>
      <w:t>2</w:t>
    </w:r>
    <w:r w:rsidR="00B277B9" w:rsidRPr="00C1417F">
      <w:rPr>
        <w:noProof/>
        <w:lang w:val="fr-CA"/>
      </w:rPr>
      <w:fldChar w:fldCharType="end"/>
    </w:r>
  </w:p>
  <w:p w14:paraId="14B0AB1F" w14:textId="77777777" w:rsidR="0003063F" w:rsidRDefault="0003063F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7EED" w14:textId="77777777" w:rsidR="00240C05" w:rsidRDefault="00240C05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31E8312D" w14:textId="77777777" w:rsidR="00240C05" w:rsidRDefault="00240C05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8FB"/>
    <w:rsid w:val="0003063F"/>
    <w:rsid w:val="000D1709"/>
    <w:rsid w:val="000F3DA6"/>
    <w:rsid w:val="001368D4"/>
    <w:rsid w:val="00152E0F"/>
    <w:rsid w:val="0019191A"/>
    <w:rsid w:val="00240C05"/>
    <w:rsid w:val="00461032"/>
    <w:rsid w:val="0051512B"/>
    <w:rsid w:val="00535100"/>
    <w:rsid w:val="006777D6"/>
    <w:rsid w:val="00700709"/>
    <w:rsid w:val="00704000"/>
    <w:rsid w:val="007343B7"/>
    <w:rsid w:val="00760046"/>
    <w:rsid w:val="008B6DB3"/>
    <w:rsid w:val="00A433B6"/>
    <w:rsid w:val="00B277B9"/>
    <w:rsid w:val="00B612CA"/>
    <w:rsid w:val="00BF08FB"/>
    <w:rsid w:val="00C1417F"/>
    <w:rsid w:val="00C662FA"/>
    <w:rsid w:val="00C71CCA"/>
    <w:rsid w:val="00DF74B6"/>
    <w:rsid w:val="00E20DC4"/>
    <w:rsid w:val="00E4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511D9"/>
  <w14:defaultImageDpi w14:val="96"/>
  <w15:docId w15:val="{467A7F88-4F50-458C-B69D-CEF0411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222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82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82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7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67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7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7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821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767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7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822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206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82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81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67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7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7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767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819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767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7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7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822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6D51-2E9D-42FA-A87D-961B7253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New Brunswick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11</cp:revision>
  <cp:lastPrinted>2018-07-30T19:05:00Z</cp:lastPrinted>
  <dcterms:created xsi:type="dcterms:W3CDTF">2018-07-24T17:02:00Z</dcterms:created>
  <dcterms:modified xsi:type="dcterms:W3CDTF">2022-12-13T15:26:00Z</dcterms:modified>
</cp:coreProperties>
</file>